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B96235A">
      <w:pPr>
        <w:pStyle w:val="15"/>
        <w:keepNext w:val="0"/>
        <w:keepLines w:val="0"/>
        <w:widowControl/>
        <w:suppressLineNumbers w:val="0"/>
        <w:autoSpaceDE w:val="0"/>
        <w:autoSpaceDN/>
        <w:spacing w:before="60" w:beforeAutospacing="0" w:after="60" w:afterAutospacing="0"/>
        <w:ind w:left="0" w:right="0" w:firstLine="0"/>
        <w:jc w:val="center"/>
        <w:rPr>
          <w:rFonts w:hint="eastAsia" w:ascii="宋体" w:hAnsi="宋体" w:eastAsia="宋体" w:cs="宋体"/>
          <w:b/>
          <w:bCs w:val="0"/>
          <w:i w:val="0"/>
          <w:iCs w:val="0"/>
          <w:caps w:val="0"/>
          <w:color w:val="000000"/>
          <w:spacing w:val="0"/>
          <w:sz w:val="44"/>
          <w:szCs w:val="44"/>
        </w:rPr>
      </w:pPr>
      <w:r>
        <w:rPr>
          <w:rStyle w:val="17"/>
          <w:rFonts w:hint="eastAsia" w:ascii="宋体" w:hAnsi="宋体" w:eastAsia="宋体" w:cs="宋体"/>
          <w:b/>
          <w:bCs w:val="0"/>
          <w:i w:val="0"/>
          <w:iCs w:val="0"/>
          <w:caps w:val="0"/>
          <w:color w:val="000000"/>
          <w:spacing w:val="0"/>
          <w:sz w:val="44"/>
          <w:szCs w:val="44"/>
        </w:rPr>
        <w:t xml:space="preserve">包头市人民政府办公室关于印发推进公共充电基础设施建设管理实施方案的通知 </w:t>
      </w:r>
    </w:p>
    <w:p w14:paraId="2B7A606E">
      <w:pPr>
        <w:pStyle w:val="15"/>
        <w:keepNext w:val="0"/>
        <w:keepLines w:val="0"/>
        <w:widowControl/>
        <w:suppressLineNumbers w:val="0"/>
        <w:autoSpaceDE w:val="0"/>
        <w:autoSpaceDN/>
        <w:ind w:left="0" w:firstLine="0" w:firstLineChars="0"/>
        <w:jc w:val="both"/>
        <w:rPr>
          <w:rFonts w:hint="eastAsia" w:ascii="宋体" w:hAnsi="宋体" w:eastAsia="宋体" w:cs="宋体"/>
          <w:kern w:val="0"/>
          <w:sz w:val="28"/>
          <w:szCs w:val="28"/>
        </w:rPr>
      </w:pPr>
    </w:p>
    <w:p w14:paraId="63C7DBDE">
      <w:pPr>
        <w:pStyle w:val="15"/>
        <w:keepNext w:val="0"/>
        <w:keepLines w:val="0"/>
        <w:widowControl/>
        <w:suppressLineNumbers w:val="0"/>
        <w:autoSpaceDE w:val="0"/>
        <w:autoSpaceDN/>
        <w:ind w:left="0" w:firstLine="0" w:firstLineChars="0"/>
        <w:jc w:val="both"/>
        <w:rPr>
          <w:rFonts w:hint="eastAsia" w:ascii="宋体" w:hAnsi="宋体" w:eastAsia="宋体" w:cs="宋体"/>
          <w:kern w:val="0"/>
          <w:sz w:val="28"/>
          <w:szCs w:val="28"/>
        </w:rPr>
      </w:pPr>
    </w:p>
    <w:p w14:paraId="6947A9C7">
      <w:pPr>
        <w:pStyle w:val="15"/>
        <w:keepNext w:val="0"/>
        <w:keepLines w:val="0"/>
        <w:widowControl/>
        <w:suppressLineNumbers w:val="0"/>
        <w:autoSpaceDE w:val="0"/>
        <w:autoSpaceDN/>
        <w:ind w:left="0" w:firstLine="0" w:firstLineChars="0"/>
        <w:jc w:val="both"/>
        <w:rPr>
          <w:rFonts w:hint="eastAsia" w:ascii="宋体" w:hAnsi="宋体" w:eastAsia="宋体" w:cs="宋体"/>
          <w:kern w:val="0"/>
          <w:sz w:val="28"/>
          <w:szCs w:val="28"/>
        </w:rPr>
      </w:pPr>
      <w:r>
        <w:rPr>
          <w:rFonts w:hint="eastAsia" w:ascii="宋体" w:hAnsi="宋体" w:eastAsia="宋体" w:cs="宋体"/>
          <w:kern w:val="0"/>
          <w:sz w:val="28"/>
          <w:szCs w:val="28"/>
        </w:rPr>
        <w:t>各旗、县、区人民政府，稀土高新区管委会，市直有关部门、单位，中直、区直企事业单位：</w:t>
      </w:r>
    </w:p>
    <w:p w14:paraId="2B44AAF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经市人民政府同意，现将《推进公共充电基础设施建设管理实施方案》印发给你们，请结合实际认真贯彻落实。</w:t>
      </w:r>
    </w:p>
    <w:p w14:paraId="4AB00F99">
      <w:pPr>
        <w:pStyle w:val="15"/>
        <w:keepNext w:val="0"/>
        <w:keepLines w:val="0"/>
        <w:widowControl/>
        <w:suppressLineNumbers w:val="0"/>
        <w:autoSpaceDE w:val="0"/>
        <w:autoSpaceDN/>
        <w:ind w:left="0" w:firstLine="560" w:firstLineChars="200"/>
        <w:jc w:val="right"/>
        <w:rPr>
          <w:rFonts w:hint="eastAsia" w:ascii="宋体" w:hAnsi="宋体" w:eastAsia="宋体" w:cs="宋体"/>
          <w:kern w:val="0"/>
          <w:sz w:val="28"/>
          <w:szCs w:val="28"/>
        </w:rPr>
      </w:pPr>
      <w:r>
        <w:rPr>
          <w:rFonts w:hint="eastAsia" w:ascii="宋体" w:hAnsi="宋体" w:eastAsia="宋体" w:cs="宋体"/>
          <w:kern w:val="0"/>
          <w:sz w:val="28"/>
          <w:szCs w:val="28"/>
        </w:rPr>
        <w:t>2024年8月8日</w:t>
      </w:r>
    </w:p>
    <w:p w14:paraId="196E35ED">
      <w:pPr>
        <w:pStyle w:val="15"/>
        <w:keepNext w:val="0"/>
        <w:keepLines w:val="0"/>
        <w:widowControl/>
        <w:suppressLineNumbers w:val="0"/>
        <w:autoSpaceDE w:val="0"/>
        <w:autoSpaceDN/>
        <w:ind w:left="0" w:firstLine="560" w:firstLineChars="200"/>
        <w:jc w:val="right"/>
        <w:rPr>
          <w:rFonts w:hint="eastAsia" w:ascii="宋体" w:hAnsi="宋体" w:eastAsia="宋体" w:cs="宋体"/>
          <w:kern w:val="0"/>
          <w:sz w:val="28"/>
          <w:szCs w:val="28"/>
        </w:rPr>
      </w:pPr>
      <w:r>
        <w:rPr>
          <w:rFonts w:hint="eastAsia" w:ascii="宋体" w:hAnsi="宋体" w:eastAsia="宋体" w:cs="宋体"/>
          <w:kern w:val="0"/>
          <w:sz w:val="28"/>
          <w:szCs w:val="28"/>
        </w:rPr>
        <w:t>（此件公开发布）</w:t>
      </w:r>
    </w:p>
    <w:p w14:paraId="74D7438C">
      <w:pPr>
        <w:pStyle w:val="15"/>
        <w:keepNext w:val="0"/>
        <w:keepLines w:val="0"/>
        <w:widowControl/>
        <w:suppressLineNumbers w:val="0"/>
        <w:autoSpaceDE w:val="0"/>
        <w:autoSpaceDN/>
        <w:ind w:left="0" w:firstLine="560" w:firstLineChars="200"/>
        <w:jc w:val="center"/>
        <w:rPr>
          <w:rFonts w:hint="eastAsia" w:ascii="宋体" w:hAnsi="宋体" w:eastAsia="宋体" w:cs="宋体"/>
          <w:kern w:val="0"/>
          <w:sz w:val="28"/>
          <w:szCs w:val="28"/>
        </w:rPr>
      </w:pPr>
      <w:r>
        <w:rPr>
          <w:rFonts w:hint="eastAsia" w:ascii="宋体" w:hAnsi="宋体" w:eastAsia="宋体" w:cs="宋体"/>
          <w:kern w:val="0"/>
          <w:sz w:val="28"/>
          <w:szCs w:val="28"/>
        </w:rPr>
        <w:t>推进公共充电基础设施建设管理实施方案</w:t>
      </w:r>
    </w:p>
    <w:p w14:paraId="2B780199">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为进一步加快充电基础设施建设，全面提升包头市公共充电设施规划建设管理运营水平，根据《包头市人民政府办公室关于印发包头市电动汽车充换电基础设施建设运营管理办法的通知》（包府办发〔2022〕85号）要求，结合实际，制定本方案。</w:t>
      </w:r>
    </w:p>
    <w:p w14:paraId="31FDB29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一、总体要求</w:t>
      </w:r>
    </w:p>
    <w:p w14:paraId="6402AE3D">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按照“科学布局、适度超前、经济合理、安全便捷”原则，围绕破解“布局不合理”、“找桩难”、“进小区难”、“油车占位”等问题，坚持问题导向，加强统筹规划，科学确定我市充电基础设施建设规模和空间布局，加大建设、加强管理、规范运营，利用三年左右的时间，在昆区、青山区、东河区、九原区、石拐区、稀土高新区基本建成与电动汽车拥有量相适应的充电设施体系，更好满足人民群众对公共充电基础设施的需求。</w:t>
      </w:r>
    </w:p>
    <w:p w14:paraId="49D895E0">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二、重点任务</w:t>
      </w:r>
    </w:p>
    <w:p w14:paraId="5C50BD9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（一）优化公共充电基础设施布局</w:t>
      </w:r>
    </w:p>
    <w:p w14:paraId="21A76159">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市级公共充电基础设施建设行业主管部门市城管局，要会同自然资源、住建、发改、工信、供电等部门，统筹制定相关地区公共充电基础设施专项规划和建设方案，共同研判相关地区公共充电基础设施空间布局、技术发展等行业发展情况，及时修订规划。（责任单位：市城管局、市自然资源局、市住建局、市发改委、市工信局、包头供电公司；完成时限：长期坚持）</w:t>
      </w:r>
    </w:p>
    <w:p w14:paraId="4547C5D0">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（二）适度超前建设公共充电基础设施</w:t>
      </w:r>
    </w:p>
    <w:p w14:paraId="2857A80C">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1．大力推进公共区域充电基础设施建设。以商业中心、休闲中心等建筑物配建停车场和周边公共停车场为重点，加快公共充电基础设施建设，停车场停车位的充电基础设施配置比例不应低于15%。同一停车场原则上只允许进驻一个充电桩运营商进行建设和运营。推动充电运营企业安装更高效的快充，逐步提高快充设施占比，缩短充电时间。积极推进建设加油（气）、充换电等业务一体的综合功能服务站，在确保安全前提下，在具备条件的加油（气）站配建公共快充和换电设施。（责任单位：市住建局、市城管局、市商务局、包头供电公司，昆区、青山区、东河区、九原区、石拐区人民政府，稀土高新区管委会；完成时限：长期坚持）</w:t>
      </w:r>
    </w:p>
    <w:p w14:paraId="6733911E">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加快公共机构充电基础设施建设。在党政机关、事业单位、国有企业等内部停车场加快配建充电基础设施，鼓励对公众开放。（责任单位：市机关事务服务中心、市城管局，昆区、青山区、东河区、九原区、石拐区人民政府，稀土高新区管委会；完成时限：长期坚持）</w:t>
      </w:r>
    </w:p>
    <w:p w14:paraId="57CC2CBE">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3．切实推动住宅小区充电基础设施建设。落实新建居住区固定车位100%预留充电设施安装条件和配变电设施供电容量裕度，预留安装条件时需将管线和桥架等供电设施建设到车位，以满足报桩直接接电需要。持续推进老旧小区充电基础设施建设。在全面摸底、科学测算的基础上，结合城镇老旧小区改造，将充电基础设施建设纳入老旧小区基础设施改造范围，因地制宜进行充电设施建设，同步开展配套供配电设施建设，满足小区居民新能源汽车充电需求。协调推动物业服务企业，根据用户需求及业主大会（或业主委员会）授权，积极配合电力企业研究确定配套电网改造施工方案。（责任单位：市住建局，昆区、青山区、东河区、九原区、石拐区人民政府，稀土高新区管委会；完成时限：长期坚持）</w:t>
      </w:r>
    </w:p>
    <w:p w14:paraId="765CC98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（三）全力强化供电保障</w:t>
      </w:r>
    </w:p>
    <w:p w14:paraId="198D236D">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进一步完善配电网规划，加强配电网建设，提高充电设施用电保障能力。优化电力接入审批流程，建立充电设施用电报装绿色通道，供电部门应依照报装申请无障碍接入电网。（责任单位：包头供电公司；完成时限：长期坚持）</w:t>
      </w:r>
    </w:p>
    <w:p w14:paraId="7087F054">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（四）提升充电设施监管服务水平</w:t>
      </w:r>
    </w:p>
    <w:p w14:paraId="56FE200B">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市级行业主管部门要搭建市级运营监测监管平台，落实相关地区公共充换电设施基础信息收集、运营数据实时监测和监管责任，为行业管理、政策制定、补贴发放等工作提供技术服务及数据支撑，向公众提供全市充电设施信息查询、导航、充电等服务。（责任单位：市城管局；完成时限：2024年8月底）</w:t>
      </w:r>
    </w:p>
    <w:p w14:paraId="6BF8F196">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（五）规范企业运营管理</w:t>
      </w:r>
    </w:p>
    <w:p w14:paraId="22637A5B">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出台《包头市新能源汽车充电设施登记、备案及监督管理细则》，督促运营企业在市级监控平台办理信息登记和备案，为用户提供安全稳定的充电服务，依法依规维护市场竞争秩序、价格秩序，保护消费者和经营者的合法权益。（责任单位：市城管局；完成时限：长期坚持）</w:t>
      </w:r>
    </w:p>
    <w:p w14:paraId="0FF8BF28">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（六）完善收费政策</w:t>
      </w:r>
    </w:p>
    <w:p w14:paraId="47B3C4F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积极借鉴其他城市经验，完善燃油汽车占用电动汽车泊位阶梯式价格收费政策。（责任单位：市发改委；完成时限：2025年5月底）</w:t>
      </w:r>
    </w:p>
    <w:p w14:paraId="4BFA0313">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三、保障措施</w:t>
      </w:r>
    </w:p>
    <w:p w14:paraId="050AB984">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一）强化主体责任。各旗县区、稀土高新区负责具体推动落实，做好辖区内充换电设施建设运营监督管理和属地安全监督管理工作。各相关职能部门要加强协同配合，按照职责分工做好统筹谋划和协调服务，建立健全协同推进机制，细化工作举措，落实支持政策，形成推进合力。</w:t>
      </w:r>
    </w:p>
    <w:p w14:paraId="0779636C">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二）加大政策支持。充分利用峰谷分时电价政策，引导用户广泛参与智能有序充电和车网互动，鼓励用户低谷时段充电。支持符合条件的充电基础设施企业向发改部门申报地方政府专项债券。积极争取各类公共充电基础设施建设和运营的补助资金。</w:t>
      </w:r>
    </w:p>
    <w:p w14:paraId="1AE4B764">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三）优化审批手续。各旗县区、稀土高新区及各部门要深入推进简政放权、放管结合、优化服务改革，按照《内蒙古自治区住房和城乡建设厅关于印发〈推进城镇新能源汽车充电设施建设六条政策措施〉的通知》（内建督〔2023〕78号）要求，依法依规优化充电基础设施规划建设审批流程，加快办理进度。</w:t>
      </w:r>
    </w:p>
    <w:p w14:paraId="5A0E5BF9">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四）强化宣传引导。广泛利用各类媒体加强政策解读，宣传普及不同类型充换电设施的使用、技术、安全等方面知识，引导消费者增强安全意识，遵守充电桩的使用规范。加强舆论监督，积极回应群众诉求，曝光损害消费者权益行为，营造良好的充电市场秩序。</w:t>
      </w:r>
    </w:p>
    <w:p w14:paraId="40F36AB8">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附件：2024年充电基础设施建设任务清单</w:t>
      </w:r>
    </w:p>
    <w:p w14:paraId="540D551B">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附件</w:t>
      </w:r>
    </w:p>
    <w:p w14:paraId="562BB466">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 xml:space="preserve"> </w:t>
      </w:r>
    </w:p>
    <w:p w14:paraId="780F1653">
      <w:pPr>
        <w:pStyle w:val="15"/>
        <w:keepNext w:val="0"/>
        <w:keepLines w:val="0"/>
        <w:widowControl/>
        <w:suppressLineNumbers w:val="0"/>
        <w:autoSpaceDE w:val="0"/>
        <w:autoSpaceDN/>
        <w:ind w:left="0" w:firstLine="560" w:firstLineChars="200"/>
        <w:jc w:val="center"/>
        <w:rPr>
          <w:rFonts w:hint="eastAsia" w:ascii="宋体" w:hAnsi="宋体" w:eastAsia="宋体" w:cs="宋体"/>
          <w:kern w:val="0"/>
          <w:sz w:val="28"/>
          <w:szCs w:val="28"/>
        </w:rPr>
      </w:pPr>
      <w:r>
        <w:rPr>
          <w:rFonts w:hint="eastAsia" w:ascii="宋体" w:hAnsi="宋体" w:eastAsia="宋体" w:cs="宋体"/>
          <w:kern w:val="0"/>
          <w:sz w:val="28"/>
          <w:szCs w:val="28"/>
        </w:rPr>
        <w:t>2024年充电基础设施建设任务清单</w:t>
      </w:r>
    </w:p>
    <w:tbl>
      <w:tblP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776"/>
        <w:gridCol w:w="2004"/>
        <w:gridCol w:w="1458"/>
        <w:gridCol w:w="2029"/>
        <w:gridCol w:w="1271"/>
        <w:gridCol w:w="776"/>
      </w:tblGrid>
      <w:tr w14:paraId="025A7DDB">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5A96F62">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408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FAD7CE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工作任务</w:t>
            </w:r>
          </w:p>
        </w:tc>
        <w:tc>
          <w:tcPr>
            <w:tcW w:w="26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0CC89D3">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责任地区/单位</w:t>
            </w:r>
          </w:p>
        </w:tc>
        <w:tc>
          <w:tcPr>
            <w:tcW w:w="36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1BFC5BA">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工作举措</w:t>
            </w:r>
          </w:p>
        </w:tc>
        <w:tc>
          <w:tcPr>
            <w:tcW w:w="163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1972390">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完成时限</w:t>
            </w:r>
          </w:p>
        </w:tc>
        <w:tc>
          <w:tcPr>
            <w:tcW w:w="4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A92D159">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备注</w:t>
            </w:r>
          </w:p>
        </w:tc>
      </w:tr>
      <w:tr w14:paraId="47D0C2C5">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95A9DA7">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1</w:t>
            </w:r>
          </w:p>
        </w:tc>
        <w:tc>
          <w:tcPr>
            <w:tcW w:w="408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69BECBF">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统筹制定相关地区公共充电基础设施专项规划和建设方案，共同研判相关地区公共充电基础设施空间布局、技术发展等行业发展情况，及时修订规划。</w:t>
            </w:r>
          </w:p>
        </w:tc>
        <w:tc>
          <w:tcPr>
            <w:tcW w:w="26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E5EA8EA">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市城管局、市自然资源局、市住建局、市发改委、市工信局、包头供电公司</w:t>
            </w:r>
          </w:p>
        </w:tc>
        <w:tc>
          <w:tcPr>
            <w:tcW w:w="36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0223664">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完成主城区公共充电基础设施专项规划修订。</w:t>
            </w:r>
          </w:p>
        </w:tc>
        <w:tc>
          <w:tcPr>
            <w:tcW w:w="163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887D60B">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2024年10月底</w:t>
            </w:r>
          </w:p>
        </w:tc>
        <w:tc>
          <w:tcPr>
            <w:tcW w:w="4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B834156">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p>
        </w:tc>
      </w:tr>
      <w:tr w14:paraId="725CAD18">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0022741">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w:t>
            </w:r>
          </w:p>
        </w:tc>
        <w:tc>
          <w:tcPr>
            <w:tcW w:w="408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519E05C">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大力推进公共区域充电基础设施建设，2024年新建685个充电桩。</w:t>
            </w:r>
          </w:p>
        </w:tc>
        <w:tc>
          <w:tcPr>
            <w:tcW w:w="26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5ABFE76">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昆区、青山区、东河区、九原区、石拐区人民政府，稀土高新区管委会</w:t>
            </w:r>
          </w:p>
        </w:tc>
        <w:tc>
          <w:tcPr>
            <w:tcW w:w="36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F8FFEC">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2024年共计完成685个充电桩建设，其中：</w:t>
            </w:r>
          </w:p>
          <w:p w14:paraId="15FB5518">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昆区：245个；青山区：174个；东河区：99个；九原区：116个；石拐区：12个；稀土高新区：39个。</w:t>
            </w:r>
          </w:p>
        </w:tc>
        <w:tc>
          <w:tcPr>
            <w:tcW w:w="163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87ECF12">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2024年11月底</w:t>
            </w:r>
          </w:p>
        </w:tc>
        <w:tc>
          <w:tcPr>
            <w:tcW w:w="4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5186ED83">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p>
        </w:tc>
      </w:tr>
      <w:tr w14:paraId="1ADB337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81C42EC">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3</w:t>
            </w:r>
          </w:p>
        </w:tc>
        <w:tc>
          <w:tcPr>
            <w:tcW w:w="408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0C605E22">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加快公共机构充电基础设施建设。在党政机关、事业单位、国有企业等内部停车场加快配建充电基础设施，鼓励对公众开放。</w:t>
            </w:r>
          </w:p>
        </w:tc>
        <w:tc>
          <w:tcPr>
            <w:tcW w:w="26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C221204">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市机关事务</w:t>
            </w:r>
          </w:p>
          <w:p w14:paraId="184E64F1">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服务中心</w:t>
            </w:r>
          </w:p>
        </w:tc>
        <w:tc>
          <w:tcPr>
            <w:tcW w:w="36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2561EBF">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2024年市本级单位、部门共开放7处（市住建局、市城市管理局、市政务服务局、市文旅局、市财政局、市市场监督管理局、市自然资源局）停车场，共计74个充电桩。</w:t>
            </w:r>
          </w:p>
        </w:tc>
        <w:tc>
          <w:tcPr>
            <w:tcW w:w="163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1B27F67">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2024年10月底</w:t>
            </w:r>
          </w:p>
        </w:tc>
        <w:tc>
          <w:tcPr>
            <w:tcW w:w="4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7F36C3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p>
        </w:tc>
      </w:tr>
      <w:tr w14:paraId="0FC53E5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color="auto" w:fill="FFFFFF"/>
          <w:tblCellMar>
            <w:top w:w="0" w:type="dxa"/>
            <w:left w:w="0" w:type="dxa"/>
            <w:bottom w:w="0" w:type="dxa"/>
            <w:right w:w="0" w:type="dxa"/>
          </w:tblCellMar>
        </w:tblPrEx>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22BD79F">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4</w:t>
            </w:r>
          </w:p>
        </w:tc>
        <w:tc>
          <w:tcPr>
            <w:tcW w:w="408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9D100C4">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切实推动住宅小区充电基础设施建设，在19个小区内安装87个公共充电桩。</w:t>
            </w:r>
          </w:p>
        </w:tc>
        <w:tc>
          <w:tcPr>
            <w:tcW w:w="26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260775B">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市住建局</w:t>
            </w:r>
          </w:p>
        </w:tc>
        <w:tc>
          <w:tcPr>
            <w:tcW w:w="36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10FB9E96">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将增设电动汽车充电设施建设纳入城镇老旧小区改造范畴，与城镇老旧小区改造同步设计，统筹实施。结合2024年城镇老旧小区改造任务，利用小区内空地，在具备条件的老旧小区，组织地区计划安装汽车充电桩87个。</w:t>
            </w:r>
          </w:p>
        </w:tc>
        <w:tc>
          <w:tcPr>
            <w:tcW w:w="163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D1FE8CC">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2024年11月底</w:t>
            </w:r>
          </w:p>
        </w:tc>
        <w:tc>
          <w:tcPr>
            <w:tcW w:w="4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71CC059">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p>
        </w:tc>
      </w:tr>
      <w:tr w14:paraId="3FF15C07">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39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65C3F50F">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5</w:t>
            </w:r>
          </w:p>
        </w:tc>
        <w:tc>
          <w:tcPr>
            <w:tcW w:w="408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35363366">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进一步完善配电网规划，加强配电网建设，提高充电设施用电保障能力。</w:t>
            </w:r>
          </w:p>
        </w:tc>
        <w:tc>
          <w:tcPr>
            <w:tcW w:w="2610"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B010669">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包头供电公司</w:t>
            </w:r>
          </w:p>
        </w:tc>
        <w:tc>
          <w:tcPr>
            <w:tcW w:w="367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77CBC284">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2024年新建、改造电网9处。</w:t>
            </w:r>
          </w:p>
        </w:tc>
        <w:tc>
          <w:tcPr>
            <w:tcW w:w="163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4D580A3E">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2024年11月底</w:t>
            </w:r>
          </w:p>
        </w:tc>
        <w:tc>
          <w:tcPr>
            <w:tcW w:w="465" w:type="dxa"/>
            <w:tcBorders>
              <w:top w:val="single" w:color="000000" w:sz="6" w:space="0"/>
              <w:left w:val="single" w:color="000000" w:sz="6" w:space="0"/>
              <w:bottom w:val="single" w:color="000000" w:sz="6" w:space="0"/>
              <w:right w:val="single" w:color="000000" w:sz="6" w:space="0"/>
            </w:tcBorders>
            <w:shd w:val="clear" w:color="auto" w:fill="FFFFFF"/>
            <w:vAlign w:val="center"/>
          </w:tcPr>
          <w:p w14:paraId="20303E43">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p>
        </w:tc>
      </w:tr>
    </w:tbl>
    <w:p w14:paraId="4763F590">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p>
    <w:tbl>
      <w:tblPr>
        <w:tblW w:w="0" w:type="auto"/>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Layout w:type="autofit"/>
        <w:tblCellMar>
          <w:top w:w="0" w:type="dxa"/>
          <w:left w:w="0" w:type="dxa"/>
          <w:bottom w:w="0" w:type="dxa"/>
          <w:right w:w="0" w:type="dxa"/>
        </w:tblCellMar>
      </w:tblPr>
      <w:tblGrid>
        <w:gridCol w:w="776"/>
        <w:gridCol w:w="2090"/>
        <w:gridCol w:w="1471"/>
        <w:gridCol w:w="1925"/>
        <w:gridCol w:w="1276"/>
        <w:gridCol w:w="776"/>
      </w:tblGrid>
      <w:tr w14:paraId="5D0FF10D">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shd w:val="clear"/>
          <w:tblCellMar>
            <w:top w:w="0" w:type="dxa"/>
            <w:left w:w="0" w:type="dxa"/>
            <w:bottom w:w="0" w:type="dxa"/>
            <w:right w:w="0" w:type="dxa"/>
          </w:tblCellMar>
        </w:tblPrEx>
        <w:tc>
          <w:tcPr>
            <w:tcW w:w="375" w:type="dxa"/>
            <w:tcBorders>
              <w:top w:val="single" w:color="000000" w:sz="6" w:space="0"/>
              <w:left w:val="single" w:color="000000" w:sz="6" w:space="0"/>
              <w:bottom w:val="single" w:color="000000" w:sz="6" w:space="0"/>
              <w:right w:val="single" w:color="000000" w:sz="6" w:space="0"/>
            </w:tcBorders>
            <w:shd w:val="clear"/>
            <w:vAlign w:val="center"/>
          </w:tcPr>
          <w:p w14:paraId="62F80A39">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序号</w:t>
            </w:r>
          </w:p>
        </w:tc>
        <w:tc>
          <w:tcPr>
            <w:tcW w:w="4110" w:type="dxa"/>
            <w:tcBorders>
              <w:top w:val="single" w:color="000000" w:sz="6" w:space="0"/>
              <w:left w:val="single" w:color="000000" w:sz="6" w:space="0"/>
              <w:bottom w:val="single" w:color="000000" w:sz="6" w:space="0"/>
              <w:right w:val="single" w:color="000000" w:sz="6" w:space="0"/>
            </w:tcBorders>
            <w:shd w:val="clear"/>
            <w:vAlign w:val="center"/>
          </w:tcPr>
          <w:p w14:paraId="3E8EE871">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工作任务</w:t>
            </w:r>
          </w:p>
        </w:tc>
        <w:tc>
          <w:tcPr>
            <w:tcW w:w="2610" w:type="dxa"/>
            <w:tcBorders>
              <w:top w:val="single" w:color="000000" w:sz="6" w:space="0"/>
              <w:left w:val="single" w:color="000000" w:sz="6" w:space="0"/>
              <w:bottom w:val="single" w:color="000000" w:sz="6" w:space="0"/>
              <w:right w:val="single" w:color="000000" w:sz="6" w:space="0"/>
            </w:tcBorders>
            <w:shd w:val="clear"/>
            <w:vAlign w:val="center"/>
          </w:tcPr>
          <w:p w14:paraId="03EDE04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责任地区/单位</w:t>
            </w:r>
          </w:p>
        </w:tc>
        <w:tc>
          <w:tcPr>
            <w:tcW w:w="3675" w:type="dxa"/>
            <w:tcBorders>
              <w:top w:val="single" w:color="000000" w:sz="6" w:space="0"/>
              <w:left w:val="single" w:color="000000" w:sz="6" w:space="0"/>
              <w:bottom w:val="single" w:color="000000" w:sz="6" w:space="0"/>
              <w:right w:val="single" w:color="000000" w:sz="6" w:space="0"/>
            </w:tcBorders>
            <w:shd w:val="clear"/>
            <w:vAlign w:val="center"/>
          </w:tcPr>
          <w:p w14:paraId="0B7B7C5D">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工作举措</w:t>
            </w:r>
          </w:p>
        </w:tc>
        <w:tc>
          <w:tcPr>
            <w:tcW w:w="1635" w:type="dxa"/>
            <w:tcBorders>
              <w:top w:val="single" w:color="000000" w:sz="6" w:space="0"/>
              <w:left w:val="single" w:color="000000" w:sz="6" w:space="0"/>
              <w:bottom w:val="single" w:color="000000" w:sz="6" w:space="0"/>
              <w:right w:val="single" w:color="000000" w:sz="6" w:space="0"/>
            </w:tcBorders>
            <w:shd w:val="clear"/>
            <w:vAlign w:val="center"/>
          </w:tcPr>
          <w:p w14:paraId="7B61B5DC">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完成时限</w:t>
            </w:r>
          </w:p>
        </w:tc>
        <w:tc>
          <w:tcPr>
            <w:tcW w:w="465" w:type="dxa"/>
            <w:tcBorders>
              <w:top w:val="single" w:color="000000" w:sz="6" w:space="0"/>
              <w:left w:val="single" w:color="000000" w:sz="6" w:space="0"/>
              <w:bottom w:val="single" w:color="000000" w:sz="6" w:space="0"/>
              <w:right w:val="single" w:color="000000" w:sz="6" w:space="0"/>
            </w:tcBorders>
            <w:shd w:val="clear"/>
            <w:vAlign w:val="center"/>
          </w:tcPr>
          <w:p w14:paraId="4334E1FF">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备注</w:t>
            </w:r>
          </w:p>
        </w:tc>
      </w:tr>
      <w:tr w14:paraId="4175C79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375" w:type="dxa"/>
            <w:tcBorders>
              <w:top w:val="single" w:color="000000" w:sz="6" w:space="0"/>
              <w:left w:val="single" w:color="000000" w:sz="6" w:space="0"/>
              <w:bottom w:val="single" w:color="000000" w:sz="6" w:space="0"/>
              <w:right w:val="single" w:color="000000" w:sz="6" w:space="0"/>
            </w:tcBorders>
            <w:shd w:val="clear"/>
            <w:vAlign w:val="center"/>
          </w:tcPr>
          <w:p w14:paraId="0F55264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6</w:t>
            </w:r>
          </w:p>
        </w:tc>
        <w:tc>
          <w:tcPr>
            <w:tcW w:w="4110" w:type="dxa"/>
            <w:tcBorders>
              <w:top w:val="single" w:color="000000" w:sz="6" w:space="0"/>
              <w:left w:val="single" w:color="000000" w:sz="6" w:space="0"/>
              <w:bottom w:val="single" w:color="000000" w:sz="6" w:space="0"/>
              <w:right w:val="single" w:color="000000" w:sz="6" w:space="0"/>
            </w:tcBorders>
            <w:shd w:val="clear"/>
            <w:vAlign w:val="center"/>
          </w:tcPr>
          <w:p w14:paraId="4BDAE85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市级行业主管部门要搭建市级运营监测监管平台，落实相关地区公共充换电设施基础信息收集、运营数据实时监测和监管责任，为行业管理、政策制定、补贴发放等工作提供技术服务及数据支撑，向公众提供全市充电设施信息查询、导航、充电等服务。</w:t>
            </w:r>
          </w:p>
        </w:tc>
        <w:tc>
          <w:tcPr>
            <w:tcW w:w="2610" w:type="dxa"/>
            <w:tcBorders>
              <w:top w:val="single" w:color="000000" w:sz="6" w:space="0"/>
              <w:left w:val="single" w:color="000000" w:sz="6" w:space="0"/>
              <w:bottom w:val="single" w:color="000000" w:sz="6" w:space="0"/>
              <w:right w:val="single" w:color="000000" w:sz="6" w:space="0"/>
            </w:tcBorders>
            <w:shd w:val="clear"/>
            <w:vAlign w:val="center"/>
          </w:tcPr>
          <w:p w14:paraId="2FA760BB">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市城管局</w:t>
            </w:r>
          </w:p>
        </w:tc>
        <w:tc>
          <w:tcPr>
            <w:tcW w:w="3675" w:type="dxa"/>
            <w:tcBorders>
              <w:top w:val="single" w:color="000000" w:sz="6" w:space="0"/>
              <w:left w:val="single" w:color="000000" w:sz="6" w:space="0"/>
              <w:bottom w:val="single" w:color="000000" w:sz="6" w:space="0"/>
              <w:right w:val="single" w:color="000000" w:sz="6" w:space="0"/>
            </w:tcBorders>
            <w:shd w:val="clear"/>
            <w:vAlign w:val="center"/>
          </w:tcPr>
          <w:p w14:paraId="1FE3F201">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完成包头市智慧停充一体化监管平台建设，并上线供市民下载。</w:t>
            </w:r>
          </w:p>
        </w:tc>
        <w:tc>
          <w:tcPr>
            <w:tcW w:w="1635" w:type="dxa"/>
            <w:tcBorders>
              <w:top w:val="single" w:color="000000" w:sz="6" w:space="0"/>
              <w:left w:val="single" w:color="000000" w:sz="6" w:space="0"/>
              <w:bottom w:val="single" w:color="000000" w:sz="6" w:space="0"/>
              <w:right w:val="single" w:color="000000" w:sz="6" w:space="0"/>
            </w:tcBorders>
            <w:shd w:val="clear"/>
            <w:vAlign w:val="center"/>
          </w:tcPr>
          <w:p w14:paraId="14C8B42E">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2024年8月底</w:t>
            </w:r>
          </w:p>
        </w:tc>
        <w:tc>
          <w:tcPr>
            <w:tcW w:w="465" w:type="dxa"/>
            <w:tcBorders>
              <w:top w:val="single" w:color="000000" w:sz="6" w:space="0"/>
              <w:left w:val="single" w:color="000000" w:sz="6" w:space="0"/>
              <w:bottom w:val="single" w:color="000000" w:sz="6" w:space="0"/>
              <w:right w:val="single" w:color="000000" w:sz="6" w:space="0"/>
            </w:tcBorders>
            <w:shd w:val="clear"/>
            <w:vAlign w:val="center"/>
          </w:tcPr>
          <w:p w14:paraId="7B4A8858">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p>
        </w:tc>
      </w:tr>
      <w:tr w14:paraId="5B87A8D3">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375" w:type="dxa"/>
            <w:tcBorders>
              <w:top w:val="single" w:color="000000" w:sz="6" w:space="0"/>
              <w:left w:val="single" w:color="000000" w:sz="6" w:space="0"/>
              <w:bottom w:val="single" w:color="000000" w:sz="6" w:space="0"/>
              <w:right w:val="single" w:color="000000" w:sz="6" w:space="0"/>
            </w:tcBorders>
            <w:shd w:val="clear"/>
            <w:vAlign w:val="center"/>
          </w:tcPr>
          <w:p w14:paraId="622016B8">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7</w:t>
            </w:r>
          </w:p>
        </w:tc>
        <w:tc>
          <w:tcPr>
            <w:tcW w:w="4110" w:type="dxa"/>
            <w:tcBorders>
              <w:top w:val="single" w:color="000000" w:sz="6" w:space="0"/>
              <w:left w:val="single" w:color="000000" w:sz="6" w:space="0"/>
              <w:bottom w:val="single" w:color="000000" w:sz="6" w:space="0"/>
              <w:right w:val="single" w:color="000000" w:sz="6" w:space="0"/>
            </w:tcBorders>
            <w:shd w:val="clear"/>
            <w:vAlign w:val="center"/>
          </w:tcPr>
          <w:p w14:paraId="0503F690">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出台《包头市新能源汽车充电设施登记、备案及监督管理细则》，督促运营企业在市级监控平台办理信息登记和备案，为用户提供安全稳定的充电服务，依法依规维护市场竞争秩序、价格秩序，保护消费者和经营者的合法权益。</w:t>
            </w:r>
          </w:p>
        </w:tc>
        <w:tc>
          <w:tcPr>
            <w:tcW w:w="2610" w:type="dxa"/>
            <w:tcBorders>
              <w:top w:val="single" w:color="000000" w:sz="6" w:space="0"/>
              <w:left w:val="single" w:color="000000" w:sz="6" w:space="0"/>
              <w:bottom w:val="single" w:color="000000" w:sz="6" w:space="0"/>
              <w:right w:val="single" w:color="000000" w:sz="6" w:space="0"/>
            </w:tcBorders>
            <w:shd w:val="clear"/>
            <w:vAlign w:val="center"/>
          </w:tcPr>
          <w:p w14:paraId="11D7C8D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市城管局</w:t>
            </w:r>
          </w:p>
        </w:tc>
        <w:tc>
          <w:tcPr>
            <w:tcW w:w="3675" w:type="dxa"/>
            <w:tcBorders>
              <w:top w:val="single" w:color="000000" w:sz="6" w:space="0"/>
              <w:left w:val="single" w:color="000000" w:sz="6" w:space="0"/>
              <w:bottom w:val="single" w:color="000000" w:sz="6" w:space="0"/>
              <w:right w:val="single" w:color="000000" w:sz="6" w:space="0"/>
            </w:tcBorders>
            <w:shd w:val="clear"/>
            <w:vAlign w:val="center"/>
          </w:tcPr>
          <w:p w14:paraId="0F50D3B0">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完成我市已建成公共充电桩备案工作。</w:t>
            </w:r>
          </w:p>
        </w:tc>
        <w:tc>
          <w:tcPr>
            <w:tcW w:w="1635" w:type="dxa"/>
            <w:tcBorders>
              <w:top w:val="single" w:color="000000" w:sz="6" w:space="0"/>
              <w:left w:val="single" w:color="000000" w:sz="6" w:space="0"/>
              <w:bottom w:val="single" w:color="000000" w:sz="6" w:space="0"/>
              <w:right w:val="single" w:color="000000" w:sz="6" w:space="0"/>
            </w:tcBorders>
            <w:shd w:val="clear"/>
            <w:vAlign w:val="center"/>
          </w:tcPr>
          <w:p w14:paraId="3786FF8D">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2024年9月底</w:t>
            </w:r>
          </w:p>
        </w:tc>
        <w:tc>
          <w:tcPr>
            <w:tcW w:w="465" w:type="dxa"/>
            <w:tcBorders>
              <w:top w:val="single" w:color="000000" w:sz="6" w:space="0"/>
              <w:left w:val="single" w:color="000000" w:sz="6" w:space="0"/>
              <w:bottom w:val="single" w:color="000000" w:sz="6" w:space="0"/>
              <w:right w:val="single" w:color="000000" w:sz="6" w:space="0"/>
            </w:tcBorders>
            <w:shd w:val="clear"/>
            <w:vAlign w:val="center"/>
          </w:tcPr>
          <w:p w14:paraId="073941ED">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p>
        </w:tc>
      </w:tr>
      <w:tr w14:paraId="3940B6CA">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375" w:type="dxa"/>
            <w:tcBorders>
              <w:top w:val="single" w:color="000000" w:sz="6" w:space="0"/>
              <w:left w:val="single" w:color="000000" w:sz="6" w:space="0"/>
              <w:bottom w:val="single" w:color="000000" w:sz="6" w:space="0"/>
              <w:right w:val="single" w:color="000000" w:sz="6" w:space="0"/>
            </w:tcBorders>
            <w:shd w:val="clear"/>
            <w:vAlign w:val="center"/>
          </w:tcPr>
          <w:p w14:paraId="67DDAF02">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8</w:t>
            </w:r>
          </w:p>
        </w:tc>
        <w:tc>
          <w:tcPr>
            <w:tcW w:w="4110" w:type="dxa"/>
            <w:tcBorders>
              <w:top w:val="single" w:color="000000" w:sz="6" w:space="0"/>
              <w:left w:val="single" w:color="000000" w:sz="6" w:space="0"/>
              <w:bottom w:val="single" w:color="000000" w:sz="6" w:space="0"/>
              <w:right w:val="single" w:color="000000" w:sz="6" w:space="0"/>
            </w:tcBorders>
            <w:shd w:val="clear"/>
            <w:vAlign w:val="center"/>
          </w:tcPr>
          <w:p w14:paraId="1473A656">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积极借鉴其他城市经验，完善燃油汽车占用电动汽车泊位阶梯式价格收费政策。</w:t>
            </w:r>
          </w:p>
        </w:tc>
        <w:tc>
          <w:tcPr>
            <w:tcW w:w="2610" w:type="dxa"/>
            <w:tcBorders>
              <w:top w:val="single" w:color="000000" w:sz="6" w:space="0"/>
              <w:left w:val="single" w:color="000000" w:sz="6" w:space="0"/>
              <w:bottom w:val="single" w:color="000000" w:sz="6" w:space="0"/>
              <w:right w:val="single" w:color="000000" w:sz="6" w:space="0"/>
            </w:tcBorders>
            <w:shd w:val="clear"/>
            <w:vAlign w:val="center"/>
          </w:tcPr>
          <w:p w14:paraId="3D159812">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市发改委</w:t>
            </w:r>
          </w:p>
        </w:tc>
        <w:tc>
          <w:tcPr>
            <w:tcW w:w="3675" w:type="dxa"/>
            <w:tcBorders>
              <w:top w:val="single" w:color="000000" w:sz="6" w:space="0"/>
              <w:left w:val="single" w:color="000000" w:sz="6" w:space="0"/>
              <w:bottom w:val="single" w:color="000000" w:sz="6" w:space="0"/>
              <w:right w:val="single" w:color="000000" w:sz="6" w:space="0"/>
            </w:tcBorders>
            <w:shd w:val="clear"/>
            <w:vAlign w:val="center"/>
          </w:tcPr>
          <w:p w14:paraId="4D62B2AC">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根据《政府定价行为规则》，对相关停车场收费进行成本监审（调查），依据成本结果和收费执行情况草拟价格标准方案上报市政府。</w:t>
            </w:r>
          </w:p>
        </w:tc>
        <w:tc>
          <w:tcPr>
            <w:tcW w:w="1635" w:type="dxa"/>
            <w:tcBorders>
              <w:top w:val="single" w:color="000000" w:sz="6" w:space="0"/>
              <w:left w:val="single" w:color="000000" w:sz="6" w:space="0"/>
              <w:bottom w:val="single" w:color="000000" w:sz="6" w:space="0"/>
              <w:right w:val="single" w:color="000000" w:sz="6" w:space="0"/>
            </w:tcBorders>
            <w:shd w:val="clear"/>
            <w:vAlign w:val="center"/>
          </w:tcPr>
          <w:p w14:paraId="7FEBBF48">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2025年5月底</w:t>
            </w:r>
          </w:p>
        </w:tc>
        <w:tc>
          <w:tcPr>
            <w:tcW w:w="465" w:type="dxa"/>
            <w:tcBorders>
              <w:top w:val="single" w:color="000000" w:sz="6" w:space="0"/>
              <w:left w:val="single" w:color="000000" w:sz="6" w:space="0"/>
              <w:bottom w:val="single" w:color="000000" w:sz="6" w:space="0"/>
              <w:right w:val="single" w:color="000000" w:sz="6" w:space="0"/>
            </w:tcBorders>
            <w:shd w:val="clear"/>
            <w:vAlign w:val="center"/>
          </w:tcPr>
          <w:p w14:paraId="4D7FF6A9">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p>
        </w:tc>
      </w:tr>
      <w:tr w14:paraId="118252D2">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CellMar>
            <w:top w:w="0" w:type="dxa"/>
            <w:left w:w="0" w:type="dxa"/>
            <w:bottom w:w="0" w:type="dxa"/>
            <w:right w:w="0" w:type="dxa"/>
          </w:tblCellMar>
        </w:tblPrEx>
        <w:tc>
          <w:tcPr>
            <w:tcW w:w="375" w:type="dxa"/>
            <w:tcBorders>
              <w:top w:val="single" w:color="000000" w:sz="6" w:space="0"/>
              <w:left w:val="single" w:color="000000" w:sz="6" w:space="0"/>
              <w:bottom w:val="single" w:color="000000" w:sz="6" w:space="0"/>
              <w:right w:val="single" w:color="000000" w:sz="6" w:space="0"/>
            </w:tcBorders>
            <w:shd w:val="clear"/>
            <w:vAlign w:val="center"/>
          </w:tcPr>
          <w:p w14:paraId="55C32C5E">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9</w:t>
            </w:r>
          </w:p>
        </w:tc>
        <w:tc>
          <w:tcPr>
            <w:tcW w:w="4110" w:type="dxa"/>
            <w:tcBorders>
              <w:top w:val="single" w:color="000000" w:sz="6" w:space="0"/>
              <w:left w:val="single" w:color="000000" w:sz="6" w:space="0"/>
              <w:bottom w:val="single" w:color="000000" w:sz="6" w:space="0"/>
              <w:right w:val="single" w:color="000000" w:sz="6" w:space="0"/>
            </w:tcBorders>
            <w:shd w:val="clear"/>
            <w:vAlign w:val="center"/>
          </w:tcPr>
          <w:p w14:paraId="281E5AC0">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摸排具备公共充电桩安装条件的加油站，并制定2024、2025年建设计划。</w:t>
            </w:r>
          </w:p>
        </w:tc>
        <w:tc>
          <w:tcPr>
            <w:tcW w:w="2610" w:type="dxa"/>
            <w:tcBorders>
              <w:top w:val="single" w:color="000000" w:sz="6" w:space="0"/>
              <w:left w:val="single" w:color="000000" w:sz="6" w:space="0"/>
              <w:bottom w:val="single" w:color="000000" w:sz="6" w:space="0"/>
              <w:right w:val="single" w:color="000000" w:sz="6" w:space="0"/>
            </w:tcBorders>
            <w:shd w:val="clear"/>
            <w:vAlign w:val="center"/>
          </w:tcPr>
          <w:p w14:paraId="022A2B3C">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市商务局</w:t>
            </w:r>
          </w:p>
        </w:tc>
        <w:tc>
          <w:tcPr>
            <w:tcW w:w="3675" w:type="dxa"/>
            <w:tcBorders>
              <w:top w:val="single" w:color="000000" w:sz="6" w:space="0"/>
              <w:left w:val="single" w:color="000000" w:sz="6" w:space="0"/>
              <w:bottom w:val="single" w:color="000000" w:sz="6" w:space="0"/>
              <w:right w:val="single" w:color="000000" w:sz="6" w:space="0"/>
            </w:tcBorders>
            <w:shd w:val="clear"/>
            <w:vAlign w:val="center"/>
          </w:tcPr>
          <w:p w14:paraId="516D56A4">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计划于2024、2025年陆续建设充电设施47个。</w:t>
            </w:r>
          </w:p>
        </w:tc>
        <w:tc>
          <w:tcPr>
            <w:tcW w:w="1635" w:type="dxa"/>
            <w:tcBorders>
              <w:top w:val="single" w:color="000000" w:sz="6" w:space="0"/>
              <w:left w:val="single" w:color="000000" w:sz="6" w:space="0"/>
              <w:bottom w:val="single" w:color="000000" w:sz="6" w:space="0"/>
              <w:right w:val="single" w:color="000000" w:sz="6" w:space="0"/>
            </w:tcBorders>
            <w:shd w:val="clear"/>
            <w:vAlign w:val="center"/>
          </w:tcPr>
          <w:p w14:paraId="346943F7">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r>
              <w:rPr>
                <w:rFonts w:hint="eastAsia" w:ascii="宋体" w:hAnsi="宋体" w:eastAsia="宋体" w:cs="宋体"/>
                <w:kern w:val="0"/>
                <w:sz w:val="28"/>
                <w:szCs w:val="28"/>
              </w:rPr>
              <w:t>2025年6月底</w:t>
            </w:r>
          </w:p>
        </w:tc>
        <w:tc>
          <w:tcPr>
            <w:tcW w:w="465" w:type="dxa"/>
            <w:tcBorders>
              <w:top w:val="single" w:color="000000" w:sz="6" w:space="0"/>
              <w:left w:val="single" w:color="000000" w:sz="6" w:space="0"/>
              <w:bottom w:val="single" w:color="000000" w:sz="6" w:space="0"/>
              <w:right w:val="single" w:color="000000" w:sz="6" w:space="0"/>
            </w:tcBorders>
            <w:shd w:val="clear"/>
            <w:vAlign w:val="center"/>
          </w:tcPr>
          <w:p w14:paraId="7589D835">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p>
        </w:tc>
      </w:tr>
    </w:tbl>
    <w:p w14:paraId="0CD93A6B">
      <w:pPr>
        <w:pStyle w:val="15"/>
        <w:keepNext w:val="0"/>
        <w:keepLines w:val="0"/>
        <w:widowControl/>
        <w:suppressLineNumbers w:val="0"/>
        <w:autoSpaceDE w:val="0"/>
        <w:autoSpaceDN/>
        <w:ind w:left="0" w:firstLine="560" w:firstLineChars="200"/>
        <w:jc w:val="both"/>
        <w:rPr>
          <w:rFonts w:hint="eastAsia" w:ascii="宋体" w:hAnsi="宋体" w:eastAsia="宋体" w:cs="宋体"/>
          <w:kern w:val="0"/>
          <w:sz w:val="28"/>
          <w:szCs w:val="28"/>
        </w:rPr>
      </w:pPr>
    </w:p>
    <w:sectPr>
      <w:pgSz w:w="11906" w:h="16839"/>
      <w:pgMar w:top="1440" w:right="1800" w:bottom="1440" w:left="1800" w:header="851" w:footer="992" w:gutter="0"/>
      <w:cols w:space="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w:panose1 w:val="05000000000000000000"/>
    <w:charset w:val="00"/>
    <w:family w:val="auto"/>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nforcement="0"/>
  <w:defaultTabStop w:val="420"/>
  <w:drawingGridVerticalSpacing w:val="157"/>
  <w:displayHorizontalDrawingGridEvery w:val="1"/>
  <w:displayVerticalDrawingGridEvery w:val="1"/>
  <w:noPunctuationKerning w:val="1"/>
  <w:characterSpacingControl w:val="doNotCompress"/>
  <w:footnotePr>
    <w:footnote w:id="0"/>
    <w:footnote w:id="1"/>
  </w:foot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67A4EE6"/>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iPriority="99"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99"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iPriority="99" w:name="Light Shading"/>
    <w:lsdException w:uiPriority="99" w:name="Light List"/>
    <w:lsdException w:uiPriority="99" w:name="Light Grid"/>
    <w:lsdException w:uiPriority="99" w:name="Medium Shading 1"/>
    <w:lsdException w:uiPriority="99" w:name="Medium Shading 2"/>
    <w:lsdException w:uiPriority="99" w:name="Medium List 1"/>
    <w:lsdException w:uiPriority="99" w:name="Medium List 2"/>
    <w:lsdException w:uiPriority="99" w:name="Medium Grid 1"/>
    <w:lsdException w:uiPriority="99" w:name="Medium Grid 2"/>
    <w:lsdException w:uiPriority="99" w:name="Medium Grid 3"/>
    <w:lsdException w:uiPriority="99" w:name="Dark List"/>
    <w:lsdException w:uiPriority="99" w:name="Colorful Shading"/>
    <w:lsdException w:uiPriority="99" w:name="Colorful List"/>
    <w:lsdException w:uiPriority="99" w:name="Colorful Grid"/>
    <w:lsdException w:uiPriority="99" w:name="Light Shading Accent 1"/>
    <w:lsdException w:uiPriority="99" w:name="Light List Accent 1"/>
    <w:lsdException w:uiPriority="99" w:name="Light Grid Accent 1"/>
    <w:lsdException w:uiPriority="99" w:name="Medium Shading 1 Accent 1"/>
    <w:lsdException w:uiPriority="99" w:name="Medium Shading 2 Accent 1"/>
    <w:lsdException w:uiPriority="99" w:name="Medium List 1 Accent 1"/>
    <w:lsdException w:uiPriority="99" w:name="Medium List 2 Accent 1"/>
    <w:lsdException w:uiPriority="99" w:name="Medium Grid 1 Accent 1"/>
    <w:lsdException w:uiPriority="99" w:name="Medium Grid 2 Accent 1"/>
    <w:lsdException w:uiPriority="99" w:name="Medium Grid 3 Accent 1"/>
    <w:lsdException w:uiPriority="99" w:name="Dark List Accent 1"/>
    <w:lsdException w:uiPriority="99" w:name="Colorful Shading Accent 1"/>
    <w:lsdException w:uiPriority="99" w:name="Colorful List Accent 1"/>
    <w:lsdException w:uiPriority="99" w:name="Colorful Grid Accent 1"/>
    <w:lsdException w:uiPriority="99" w:name="Light Shading Accent 2"/>
    <w:lsdException w:uiPriority="99" w:name="Light List Accent 2"/>
    <w:lsdException w:uiPriority="99" w:name="Light Grid Accent 2"/>
    <w:lsdException w:uiPriority="99" w:name="Medium Shading 1 Accent 2"/>
    <w:lsdException w:uiPriority="99" w:name="Medium Shading 2 Accent 2"/>
    <w:lsdException w:uiPriority="99" w:name="Medium List 1 Accent 2"/>
    <w:lsdException w:uiPriority="99" w:name="Medium List 2 Accent 2"/>
    <w:lsdException w:uiPriority="99" w:name="Medium Grid 1 Accent 2"/>
    <w:lsdException w:uiPriority="99" w:name="Medium Grid 2 Accent 2"/>
    <w:lsdException w:uiPriority="99" w:name="Medium Grid 3 Accent 2"/>
    <w:lsdException w:uiPriority="99" w:name="Dark List Accent 2"/>
    <w:lsdException w:uiPriority="99" w:name="Colorful Shading Accent 2"/>
    <w:lsdException w:uiPriority="99" w:name="Colorful List Accent 2"/>
    <w:lsdException w:uiPriority="99" w:name="Colorful Grid Accent 2"/>
    <w:lsdException w:uiPriority="99" w:name="Light Shading Accent 3"/>
    <w:lsdException w:uiPriority="99" w:name="Light List Accent 3"/>
    <w:lsdException w:uiPriority="99" w:name="Light Grid Accent 3"/>
    <w:lsdException w:uiPriority="99" w:name="Medium Shading 1 Accent 3"/>
    <w:lsdException w:uiPriority="99" w:name="Medium Shading 2 Accent 3"/>
    <w:lsdException w:uiPriority="99" w:name="Medium List 1 Accent 3"/>
    <w:lsdException w:uiPriority="99" w:name="Medium List 2 Accent 3"/>
    <w:lsdException w:uiPriority="99" w:name="Medium Grid 1 Accent 3"/>
    <w:lsdException w:uiPriority="99" w:name="Medium Grid 2 Accent 3"/>
    <w:lsdException w:uiPriority="99" w:name="Medium Grid 3 Accent 3"/>
    <w:lsdException w:uiPriority="99" w:name="Dark List Accent 3"/>
    <w:lsdException w:uiPriority="99" w:name="Colorful Shading Accent 3"/>
    <w:lsdException w:uiPriority="99" w:name="Colorful List Accent 3"/>
    <w:lsdException w:uiPriority="99" w:name="Colorful Grid Accent 3"/>
    <w:lsdException w:uiPriority="99" w:name="Light Shading Accent 4"/>
    <w:lsdException w:uiPriority="99" w:name="Light List Accent 4"/>
    <w:lsdException w:uiPriority="99" w:name="Light Grid Accent 4"/>
    <w:lsdException w:uiPriority="99" w:name="Medium Shading 1 Accent 4"/>
    <w:lsdException w:uiPriority="99" w:name="Medium Shading 2 Accent 4"/>
    <w:lsdException w:uiPriority="99" w:name="Medium List 1 Accent 4"/>
    <w:lsdException w:uiPriority="99" w:name="Medium List 2 Accent 4"/>
    <w:lsdException w:uiPriority="99" w:name="Medium Grid 1 Accent 4"/>
    <w:lsdException w:uiPriority="99" w:name="Medium Grid 2 Accent 4"/>
    <w:lsdException w:uiPriority="99" w:name="Medium Grid 3 Accent 4"/>
    <w:lsdException w:uiPriority="99" w:name="Dark List Accent 4"/>
    <w:lsdException w:uiPriority="99" w:name="Colorful Shading Accent 4"/>
    <w:lsdException w:uiPriority="99" w:name="Colorful List Accent 4"/>
    <w:lsdException w:uiPriority="99" w:name="Colorful Grid Accent 4"/>
    <w:lsdException w:uiPriority="99" w:name="Light Shading Accent 5"/>
    <w:lsdException w:uiPriority="99" w:name="Light List Accent 5"/>
    <w:lsdException w:uiPriority="99" w:name="Light Grid Accent 5"/>
    <w:lsdException w:uiPriority="99" w:name="Medium Shading 1 Accent 5"/>
    <w:lsdException w:uiPriority="99" w:name="Medium Shading 2 Accent 5"/>
    <w:lsdException w:uiPriority="99" w:name="Medium List 1 Accent 5"/>
    <w:lsdException w:uiPriority="99" w:name="Medium List 2 Accent 5"/>
    <w:lsdException w:uiPriority="99" w:name="Medium Grid 1 Accent 5"/>
    <w:lsdException w:uiPriority="99" w:name="Medium Grid 2 Accent 5"/>
    <w:lsdException w:uiPriority="99" w:name="Medium Grid 3 Accent 5"/>
    <w:lsdException w:uiPriority="99" w:name="Dark List Accent 5"/>
    <w:lsdException w:uiPriority="99" w:name="Colorful Shading Accent 5"/>
    <w:lsdException w:uiPriority="99" w:name="Colorful List Accent 5"/>
    <w:lsdException w:uiPriority="99" w:name="Colorful Grid Accent 5"/>
    <w:lsdException w:uiPriority="99" w:name="Light Shading Accent 6"/>
    <w:lsdException w:uiPriority="99" w:name="Light List Accent 6"/>
    <w:lsdException w:uiPriority="99" w:name="Light Grid Accent 6"/>
    <w:lsdException w:uiPriority="99" w:name="Medium Shading 1 Accent 6"/>
    <w:lsdException w:uiPriority="99" w:name="Medium Shading 2 Accent 6"/>
    <w:lsdException w:uiPriority="99" w:name="Medium List 1 Accent 6"/>
    <w:lsdException w:uiPriority="99" w:name="Medium List 2 Accent 6"/>
    <w:lsdException w:uiPriority="99" w:name="Medium Grid 1 Accent 6"/>
    <w:lsdException w:uiPriority="99" w:name="Medium Grid 2 Accent 6"/>
    <w:lsdException w:uiPriority="99" w:name="Medium Grid 3 Accent 6"/>
    <w:lsdException w:uiPriority="99" w:name="Dark List Accent 6"/>
    <w:lsdException w:uiPriority="99" w:name="Colorful Shading Accent 6"/>
    <w:lsdException w:uiPriority="99" w:name="Colorful List Accent 6"/>
    <w:lsdException w:uiPriority="99" w:name="Colorful Grid Accent 6"/>
  </w:latentStyles>
  <w:style w:type="paragraph" w:default="1" w:styleId="1">
    <w:name w:val="Normal"/>
    <w:semiHidden/>
    <w:unhideWhenUsed/>
    <w:uiPriority w:val="99"/>
    <w:pPr>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6">
    <w:name w:val="heading 5"/>
    <w:basedOn w:val="1"/>
    <w:next w:val="1"/>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paragraph" w:styleId="7">
    <w:name w:val="heading 6"/>
    <w:basedOn w:val="1"/>
    <w:next w:val="1"/>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11">
    <w:name w:val="Default Paragraph Font"/>
    <w:semiHidden/>
    <w:unhideWhenUsed/>
    <w:uiPriority w:val="99"/>
  </w:style>
  <w:style w:type="table" w:default="1" w:styleId="10">
    <w:name w:val="Normal Table"/>
    <w:semiHidden/>
    <w:unhideWhenUsed/>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8">
    <w:name w:val="HTML Preformatted"/>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9">
    <w:name w:val="Normal (Web)"/>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styleId="12">
    <w:name w:val="Strong"/>
    <w:basedOn w:val="11"/>
    <w:qFormat/>
    <w:uiPriority w:val="0"/>
    <w:rPr>
      <w:b/>
    </w:rPr>
  </w:style>
  <w:style w:type="character" w:customStyle="1" w:styleId="13">
    <w:name w:val="15"/>
    <w:basedOn w:val="11"/>
    <w:uiPriority w:val="0"/>
    <w:rPr>
      <w:rFonts w:hint="default" w:ascii="Times New Roman" w:hAnsi="Times New Roman" w:cs="Times New Roman"/>
      <w:vanish/>
    </w:rPr>
  </w:style>
  <w:style w:type="character" w:customStyle="1" w:styleId="14">
    <w:name w:val="17"/>
    <w:basedOn w:val="11"/>
    <w:uiPriority w:val="0"/>
    <w:rPr>
      <w:rFonts w:hint="default" w:ascii="Times New Roman" w:hAnsi="Times New Roman" w:cs="Times New Roman"/>
      <w:color w:val="0000FF"/>
      <w:u w:val="single"/>
    </w:rPr>
  </w:style>
  <w:style w:type="paragraph" w:customStyle="1" w:styleId="15">
    <w:name w:val="普通(网站) Char"/>
    <w:basedOn w:val="1"/>
    <w:uiPriority w:val="0"/>
    <w:pPr>
      <w:spacing w:before="0" w:beforeAutospacing="1" w:after="0" w:afterAutospacing="1"/>
      <w:ind w:left="0" w:right="0"/>
      <w:jc w:val="left"/>
    </w:pPr>
    <w:rPr>
      <w:rFonts w:hint="eastAsia" w:ascii="宋体" w:hAnsi="宋体" w:eastAsia="宋体" w:cs="宋体"/>
      <w:kern w:val="0"/>
      <w:sz w:val="24"/>
      <w:szCs w:val="24"/>
      <w:lang w:val="en-US" w:eastAsia="zh-CN" w:bidi="ar"/>
    </w:rPr>
  </w:style>
  <w:style w:type="character" w:customStyle="1" w:styleId="16">
    <w:name w:val="10"/>
    <w:basedOn w:val="11"/>
    <w:uiPriority w:val="0"/>
    <w:rPr>
      <w:rFonts w:hint="default" w:ascii="Times New Roman" w:hAnsi="Times New Roman" w:cs="Times New Roman"/>
    </w:rPr>
  </w:style>
  <w:style w:type="character" w:customStyle="1" w:styleId="17">
    <w:name w:val="16"/>
    <w:basedOn w:val="11"/>
    <w:uiPriority w:val="0"/>
    <w:rPr>
      <w:rFonts w:hint="default" w:ascii="Times New Roman" w:hAnsi="Times New Roman" w:cs="Times New Roman"/>
      <w:b/>
    </w:rPr>
  </w:style>
  <w:style w:type="paragraph" w:customStyle="1" w:styleId="18">
    <w:name w:val="HTML 预设格式 Char"/>
    <w:basedOn w:val="1"/>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customStyle="1" w:styleId="19">
    <w:name w:val="div-hide"/>
    <w:basedOn w:val="1"/>
    <w:uiPriority w:val="0"/>
    <w:pPr>
      <w:spacing w:before="0" w:beforeAutospacing="0" w:after="0" w:afterAutospacing="0"/>
      <w:ind w:left="0" w:right="0"/>
      <w:jc w:val="left"/>
    </w:pPr>
    <w:rPr>
      <w:rFonts w:hint="eastAsia" w:ascii="宋体" w:hAnsi="宋体" w:eastAsia="宋体" w:cs="宋体"/>
      <w:vanish/>
      <w:kern w:val="0"/>
      <w:sz w:val="24"/>
      <w:szCs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7</Pages>
  <Words>2465</Words>
  <Characters>2472</Characters>
  <Lines>1</Lines>
  <Paragraphs>1</Paragraphs>
  <TotalTime>9</TotalTime>
  <ScaleCrop>false</ScaleCrop>
  <LinksUpToDate>false</LinksUpToDate>
  <CharactersWithSpaces>2497</CharactersWithSpaces>
  <Application>WPS Office_12.1.0.18909_F1E327BC-269C-435d-A152-05C5408002CA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2024-12-19T02:06:13Z</dcterms:created>
  <dc:creator>Administrator.BF-20210819OGMF</dc:creator>
  <cp:lastModifiedBy>媛媛</cp:lastModifiedBy>
  <dcterms:modified xsi:type="dcterms:W3CDTF">2024-12-19T02:16:05Z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2052-12.1.0.18909</vt:lpwstr>
  </property>
  <property fmtid="{D5CDD505-2E9C-101B-9397-08002B2CF9AE}" pid="3" name="ICV">
    <vt:lpwstr>ED54D9E9B008484984A87F98AD285F74_13</vt:lpwstr>
  </property>
</Properties>
</file>