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87137">
      <w:pPr>
        <w:spacing w:line="360" w:lineRule="auto"/>
        <w:jc w:val="center"/>
        <w:rPr>
          <w:rFonts w:ascii="宋体" w:hAnsi="宋体"/>
          <w:sz w:val="24"/>
          <w:highlight w:val="none"/>
        </w:rPr>
      </w:pPr>
    </w:p>
    <w:p w14:paraId="6C56A539">
      <w:pPr>
        <w:spacing w:line="360" w:lineRule="auto"/>
        <w:jc w:val="center"/>
        <w:rPr>
          <w:rFonts w:ascii="宋体" w:hAnsi="宋体"/>
          <w:sz w:val="24"/>
          <w:highlight w:val="none"/>
        </w:rPr>
      </w:pPr>
    </w:p>
    <w:p w14:paraId="30619767">
      <w:pPr>
        <w:spacing w:line="360" w:lineRule="auto"/>
        <w:jc w:val="center"/>
        <w:rPr>
          <w:rFonts w:ascii="宋体" w:hAnsi="宋体"/>
          <w:sz w:val="24"/>
          <w:highlight w:val="none"/>
        </w:rPr>
      </w:pPr>
    </w:p>
    <w:p w14:paraId="047154D9">
      <w:pPr>
        <w:spacing w:line="360" w:lineRule="auto"/>
        <w:jc w:val="center"/>
        <w:rPr>
          <w:rFonts w:ascii="宋体" w:hAnsi="宋体"/>
          <w:sz w:val="24"/>
          <w:highlight w:val="none"/>
        </w:rPr>
      </w:pPr>
    </w:p>
    <w:p w14:paraId="46EFDBB1">
      <w:pPr>
        <w:spacing w:line="360" w:lineRule="auto"/>
        <w:jc w:val="center"/>
        <w:rPr>
          <w:rFonts w:hint="eastAsia" w:ascii="宋体" w:hAnsi="宋体"/>
          <w:b/>
          <w:bCs/>
          <w:kern w:val="0"/>
          <w:sz w:val="52"/>
          <w:szCs w:val="52"/>
          <w:highlight w:val="none"/>
        </w:rPr>
      </w:pPr>
      <w:r>
        <w:rPr>
          <w:rFonts w:ascii="宋体" w:hAnsi="宋体"/>
          <w:b/>
          <w:bCs/>
          <w:kern w:val="0"/>
          <w:sz w:val="52"/>
          <w:szCs w:val="52"/>
          <w:highlight w:val="none"/>
        </w:rPr>
        <w:t>2024</w:t>
      </w:r>
      <w:r>
        <w:rPr>
          <w:rFonts w:hint="eastAsia" w:ascii="宋体" w:hAnsi="宋体"/>
          <w:b/>
          <w:bCs/>
          <w:kern w:val="0"/>
          <w:sz w:val="52"/>
          <w:szCs w:val="52"/>
          <w:highlight w:val="none"/>
        </w:rPr>
        <w:t>年度内蒙古自治区包头市城市基础</w:t>
      </w:r>
    </w:p>
    <w:p w14:paraId="273A7B14">
      <w:pPr>
        <w:spacing w:line="360" w:lineRule="auto"/>
        <w:jc w:val="center"/>
        <w:rPr>
          <w:rFonts w:ascii="宋体" w:hAnsi="宋体"/>
          <w:b/>
          <w:bCs/>
          <w:kern w:val="0"/>
          <w:sz w:val="52"/>
          <w:szCs w:val="52"/>
          <w:highlight w:val="none"/>
        </w:rPr>
      </w:pPr>
      <w:r>
        <w:rPr>
          <w:rFonts w:hint="eastAsia" w:ascii="宋体" w:hAnsi="宋体"/>
          <w:b/>
          <w:bCs/>
          <w:kern w:val="0"/>
          <w:sz w:val="52"/>
          <w:szCs w:val="52"/>
          <w:highlight w:val="none"/>
        </w:rPr>
        <w:t>设施运行监控技术中心</w:t>
      </w:r>
    </w:p>
    <w:p w14:paraId="0EBF1FDE">
      <w:pPr>
        <w:spacing w:line="360" w:lineRule="auto"/>
        <w:jc w:val="center"/>
        <w:rPr>
          <w:rFonts w:ascii="宋体" w:hAnsi="宋体"/>
          <w:b/>
          <w:bCs/>
          <w:kern w:val="0"/>
          <w:sz w:val="52"/>
          <w:szCs w:val="52"/>
          <w:highlight w:val="none"/>
        </w:rPr>
      </w:pPr>
      <w:r>
        <w:rPr>
          <w:rFonts w:hint="eastAsia" w:ascii="宋体" w:hAnsi="宋体"/>
          <w:b/>
          <w:bCs/>
          <w:kern w:val="0"/>
          <w:sz w:val="52"/>
          <w:szCs w:val="52"/>
          <w:highlight w:val="none"/>
          <w:lang w:val="en-US" w:eastAsia="zh-CN"/>
        </w:rPr>
        <w:t>决算</w:t>
      </w:r>
      <w:r>
        <w:rPr>
          <w:rFonts w:hint="eastAsia" w:ascii="宋体" w:hAnsi="宋体"/>
          <w:b/>
          <w:bCs/>
          <w:kern w:val="0"/>
          <w:sz w:val="52"/>
          <w:szCs w:val="52"/>
          <w:highlight w:val="none"/>
        </w:rPr>
        <w:t>公开报告</w:t>
      </w:r>
    </w:p>
    <w:p w14:paraId="2C3E1274">
      <w:pPr>
        <w:spacing w:line="360" w:lineRule="auto"/>
        <w:jc w:val="center"/>
        <w:rPr>
          <w:rFonts w:ascii="宋体" w:hAnsi="宋体"/>
          <w:b/>
          <w:bCs/>
          <w:sz w:val="52"/>
          <w:szCs w:val="52"/>
          <w:highlight w:val="none"/>
        </w:rPr>
      </w:pPr>
    </w:p>
    <w:p w14:paraId="2BB1097C">
      <w:pPr>
        <w:spacing w:line="360" w:lineRule="auto"/>
        <w:jc w:val="center"/>
        <w:rPr>
          <w:rFonts w:ascii="宋体" w:hAnsi="宋体"/>
          <w:b/>
          <w:bCs/>
          <w:sz w:val="52"/>
          <w:szCs w:val="52"/>
          <w:highlight w:val="none"/>
        </w:rPr>
      </w:pPr>
    </w:p>
    <w:p w14:paraId="1C01A68C">
      <w:pPr>
        <w:spacing w:line="360" w:lineRule="auto"/>
        <w:jc w:val="center"/>
        <w:rPr>
          <w:rFonts w:ascii="宋体" w:hAnsi="宋体"/>
          <w:b/>
          <w:bCs/>
          <w:sz w:val="52"/>
          <w:szCs w:val="52"/>
          <w:highlight w:val="none"/>
        </w:rPr>
      </w:pPr>
    </w:p>
    <w:p w14:paraId="7B807379">
      <w:pPr>
        <w:spacing w:line="360" w:lineRule="auto"/>
        <w:jc w:val="center"/>
        <w:rPr>
          <w:rFonts w:ascii="宋体" w:hAnsi="宋体"/>
          <w:b/>
          <w:bCs/>
          <w:sz w:val="52"/>
          <w:szCs w:val="52"/>
          <w:highlight w:val="none"/>
        </w:rPr>
      </w:pPr>
    </w:p>
    <w:p w14:paraId="1B9F4368">
      <w:pPr>
        <w:spacing w:line="360" w:lineRule="auto"/>
        <w:jc w:val="center"/>
        <w:rPr>
          <w:rFonts w:ascii="宋体" w:hAnsi="宋体"/>
          <w:b/>
          <w:bCs/>
          <w:sz w:val="52"/>
          <w:szCs w:val="52"/>
          <w:highlight w:val="none"/>
        </w:rPr>
      </w:pPr>
    </w:p>
    <w:p w14:paraId="2D7A75AD">
      <w:pPr>
        <w:ind w:firstLine="2249" w:firstLineChars="700"/>
        <w:rPr>
          <w:rFonts w:ascii="仿宋" w:hAnsi="仿宋" w:eastAsia="仿宋"/>
          <w:b/>
          <w:sz w:val="32"/>
          <w:szCs w:val="32"/>
          <w:highlight w:val="none"/>
        </w:rPr>
        <w:sectPr>
          <w:footerReference r:id="rId3" w:type="default"/>
          <w:pgSz w:w="11906" w:h="16838"/>
          <w:pgMar w:top="1440" w:right="1083" w:bottom="1440" w:left="1083" w:header="0" w:footer="720" w:gutter="0"/>
          <w:cols w:space="425" w:num="1"/>
          <w:docGrid w:type="lines" w:linePitch="312" w:charSpace="0"/>
        </w:sectPr>
      </w:pPr>
    </w:p>
    <w:p w14:paraId="646861DE">
      <w:pPr>
        <w:widowControl/>
        <w:spacing w:after="240"/>
        <w:jc w:val="center"/>
        <w:rPr>
          <w:rFonts w:eastAsia="Times New Roman"/>
          <w:kern w:val="0"/>
          <w:sz w:val="24"/>
          <w:highlight w:val="none"/>
        </w:rPr>
      </w:pPr>
      <w:bookmarkStart w:id="0" w:name="a000"/>
      <w:r>
        <w:rPr>
          <w:rFonts w:ascii="仿宋_GB2312" w:hAnsi="仿宋_GB2312" w:eastAsia="仿宋_GB2312" w:cs="仿宋_GB2312"/>
          <w:b/>
          <w:bCs/>
          <w:kern w:val="0"/>
          <w:sz w:val="54"/>
          <w:szCs w:val="54"/>
          <w:highlight w:val="none"/>
        </w:rPr>
        <w:t>目</w:t>
      </w:r>
      <w:r>
        <w:rPr>
          <w:rFonts w:hint="eastAsia" w:ascii="仿宋_GB2312" w:hAnsi="仿宋_GB2312" w:eastAsia="仿宋_GB2312" w:cs="仿宋_GB2312"/>
          <w:b/>
          <w:bCs/>
          <w:kern w:val="0"/>
          <w:sz w:val="54"/>
          <w:szCs w:val="54"/>
          <w:highlight w:val="none"/>
          <w:lang w:val="en-US" w:eastAsia="zh-CN"/>
        </w:rPr>
        <w:t xml:space="preserve"> </w:t>
      </w:r>
      <w:r>
        <w:rPr>
          <w:rFonts w:ascii="仿宋_GB2312" w:hAnsi="仿宋_GB2312" w:eastAsia="仿宋_GB2312" w:cs="仿宋_GB2312"/>
          <w:b/>
          <w:bCs/>
          <w:kern w:val="0"/>
          <w:sz w:val="54"/>
          <w:szCs w:val="54"/>
          <w:highlight w:val="none"/>
        </w:rPr>
        <w:t>录</w:t>
      </w:r>
    </w:p>
    <w:p w14:paraId="2787BA8A">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eastAsia="宋体"/>
          <w:kern w:val="0"/>
          <w:sz w:val="27"/>
          <w:szCs w:val="27"/>
          <w:highlight w:val="none"/>
          <w:lang w:eastAsia="zh-CN"/>
        </w:rPr>
      </w:pPr>
    </w:p>
    <w:p w14:paraId="58F968E5">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黑体" w:hAnsi="黑体" w:eastAsia="黑体" w:cs="黑体"/>
          <w:kern w:val="0"/>
          <w:sz w:val="27"/>
          <w:szCs w:val="27"/>
          <w:highlight w:val="none"/>
        </w:rPr>
        <w:t>第一部分 部门（单位）概况</w:t>
      </w:r>
    </w:p>
    <w:p w14:paraId="066DC001">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一、主要职能、职责</w:t>
      </w:r>
    </w:p>
    <w:p w14:paraId="6170BC4D">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二、部门（单位）机构设置及决算单位构成情况</w:t>
      </w:r>
    </w:p>
    <w:p w14:paraId="3285E527">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三、</w:t>
      </w:r>
      <w:r>
        <w:rPr>
          <w:rFonts w:ascii="times_new_roman" w:hAnsi="times_new_roman" w:eastAsia="times_new_roman" w:cs="times_new_roman"/>
          <w:kern w:val="0"/>
          <w:sz w:val="27"/>
          <w:szCs w:val="27"/>
          <w:highlight w:val="none"/>
        </w:rPr>
        <w:t>2024</w:t>
      </w:r>
      <w:r>
        <w:rPr>
          <w:rFonts w:ascii="仿宋_GB2312" w:hAnsi="仿宋_GB2312" w:eastAsia="仿宋_GB2312" w:cs="仿宋_GB2312"/>
          <w:kern w:val="0"/>
          <w:sz w:val="27"/>
          <w:szCs w:val="27"/>
          <w:highlight w:val="none"/>
        </w:rPr>
        <w:t>年度部门（单位）主要工作完成情况</w:t>
      </w:r>
    </w:p>
    <w:p w14:paraId="7E40ECF0">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黑体" w:hAnsi="黑体" w:eastAsia="黑体" w:cs="黑体"/>
          <w:kern w:val="0"/>
          <w:sz w:val="27"/>
          <w:szCs w:val="27"/>
          <w:highlight w:val="none"/>
        </w:rPr>
        <w:t>第二部分 部门（单位）决算情况说明</w:t>
      </w:r>
    </w:p>
    <w:p w14:paraId="37E06730">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一、收入支出决算总体情况说明</w:t>
      </w:r>
    </w:p>
    <w:p w14:paraId="15B537D8">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二、收入决算情况说明</w:t>
      </w:r>
    </w:p>
    <w:p w14:paraId="7F9EDF23">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三、支出决算情况说明</w:t>
      </w:r>
    </w:p>
    <w:p w14:paraId="4846960C">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四、财政拨款收入支出决算总体情况说明</w:t>
      </w:r>
    </w:p>
    <w:p w14:paraId="34A79AEB">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五、一般公共预算财政拨款支出决算情况说明</w:t>
      </w:r>
    </w:p>
    <w:p w14:paraId="6BA2EF4B">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六、一般公共预算财政拨款基本支出决算情况说明</w:t>
      </w:r>
    </w:p>
    <w:p w14:paraId="3BC24558">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七、一般公共预算财政拨款项目支出决算情况说明</w:t>
      </w:r>
    </w:p>
    <w:p w14:paraId="262563E1">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八、财政拨款“三公”经费支出决算情况说明</w:t>
      </w:r>
    </w:p>
    <w:p w14:paraId="65B06DEA">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九、政府性基金预算财政拨款支出决算情况说明</w:t>
      </w:r>
    </w:p>
    <w:p w14:paraId="11FB8040">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十、国有资本经营预算财政拨款支出决算情况说明</w:t>
      </w:r>
    </w:p>
    <w:p w14:paraId="5CA9B86A">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十一、机关运行经费（公用经费）支出决算情况说明</w:t>
      </w:r>
    </w:p>
    <w:p w14:paraId="116DA005">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十二、政府采购支出决算情况说明</w:t>
      </w:r>
    </w:p>
    <w:p w14:paraId="7BAA2B8E">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十三、国有资产占用情况说明</w:t>
      </w:r>
    </w:p>
    <w:p w14:paraId="7239D68E">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十四、预算绩效情况说明</w:t>
      </w:r>
    </w:p>
    <w:p w14:paraId="3B4AA25F">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黑体" w:hAnsi="黑体" w:eastAsia="黑体" w:cs="黑体"/>
          <w:kern w:val="0"/>
          <w:sz w:val="27"/>
          <w:szCs w:val="27"/>
          <w:highlight w:val="none"/>
        </w:rPr>
        <w:t>第三部分 名词解释</w:t>
      </w:r>
    </w:p>
    <w:p w14:paraId="5633BC4F">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黑体" w:hAnsi="黑体" w:eastAsia="黑体" w:cs="黑体"/>
          <w:kern w:val="0"/>
          <w:sz w:val="27"/>
          <w:szCs w:val="27"/>
          <w:highlight w:val="none"/>
        </w:rPr>
        <w:t>第四部分 决算公开联系方式及信息反馈渠道</w:t>
      </w:r>
    </w:p>
    <w:p w14:paraId="02496911">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黑体" w:hAnsi="黑体" w:eastAsia="黑体" w:cs="黑体"/>
          <w:kern w:val="0"/>
          <w:sz w:val="27"/>
          <w:szCs w:val="27"/>
          <w:highlight w:val="none"/>
        </w:rPr>
        <w:t>第五部分 部门（单位）决算表</w:t>
      </w:r>
    </w:p>
    <w:p w14:paraId="66FD861D">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一、收入支出决算总表</w:t>
      </w:r>
    </w:p>
    <w:p w14:paraId="113EBF83">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二、收入决算表</w:t>
      </w:r>
    </w:p>
    <w:p w14:paraId="69DBE1B5">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三、支出决算表</w:t>
      </w:r>
    </w:p>
    <w:p w14:paraId="63E4E482">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四、财政拨款收入支出决算总表</w:t>
      </w:r>
    </w:p>
    <w:p w14:paraId="0CFB8656">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五、一般公共预算财政拨款支出决算表</w:t>
      </w:r>
    </w:p>
    <w:p w14:paraId="41228BDD">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六、一般公共预算财政拨款基本支出决算明细表</w:t>
      </w:r>
    </w:p>
    <w:p w14:paraId="5DA273A5">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七、一般公共预算财政拨款项目支出决算明细表</w:t>
      </w:r>
    </w:p>
    <w:p w14:paraId="066E4D43">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八、政府性基金预算财政拨款收入支出决算表</w:t>
      </w:r>
    </w:p>
    <w:p w14:paraId="10AC341F">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九、国有资本经营预算财政拨款收入支出决算表</w:t>
      </w:r>
    </w:p>
    <w:p w14:paraId="4C1EFA2B">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十、财政拨款“三公”经费支出决算表</w:t>
      </w:r>
    </w:p>
    <w:p w14:paraId="2E9B4BC2">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ascii="仿宋_GB2312" w:hAnsi="仿宋_GB2312" w:eastAsia="仿宋_GB2312" w:cs="仿宋_GB2312"/>
          <w:kern w:val="0"/>
          <w:sz w:val="27"/>
          <w:szCs w:val="27"/>
          <w:highlight w:val="none"/>
        </w:rPr>
        <w:t>十一、机关运行经费支出、国有资产占用情况及政府采购支出信息表</w:t>
      </w:r>
    </w:p>
    <w:p w14:paraId="7A7C2144">
      <w:pPr>
        <w:widowControl/>
        <w:spacing w:before="240" w:after="240"/>
        <w:rPr>
          <w:rFonts w:eastAsia="Times New Roman"/>
          <w:kern w:val="0"/>
          <w:sz w:val="24"/>
          <w:highlight w:val="none"/>
        </w:rPr>
      </w:pPr>
    </w:p>
    <w:p w14:paraId="3475D393">
      <w:pPr>
        <w:pStyle w:val="3"/>
        <w:keepNext w:val="0"/>
        <w:keepLines w:val="0"/>
        <w:pageBreakBefore w:val="0"/>
        <w:widowControl/>
        <w:kinsoku/>
        <w:wordWrap/>
        <w:overflowPunct/>
        <w:topLinePunct w:val="0"/>
        <w:autoSpaceDE/>
        <w:autoSpaceDN/>
        <w:bidi w:val="0"/>
        <w:adjustRightInd/>
        <w:snapToGrid/>
        <w:spacing w:before="299" w:after="299" w:line="240" w:lineRule="auto"/>
        <w:jc w:val="center"/>
        <w:textAlignment w:val="auto"/>
        <w:rPr>
          <w:rFonts w:ascii="Times New Roman" w:hAnsi="Times New Roman" w:eastAsia="Times New Roman"/>
          <w:kern w:val="0"/>
          <w:sz w:val="36"/>
          <w:szCs w:val="36"/>
          <w:highlight w:val="none"/>
        </w:rPr>
      </w:pPr>
      <w:r>
        <w:rPr>
          <w:rFonts w:ascii="fang_zheng_xiao_biao_song_ti" w:hAnsi="fang_zheng_xiao_biao_song_ti" w:eastAsia="fang_zheng_xiao_biao_song_ti" w:cs="fang_zheng_xiao_biao_song_ti"/>
          <w:kern w:val="0"/>
          <w:sz w:val="36"/>
          <w:szCs w:val="36"/>
          <w:highlight w:val="none"/>
        </w:rPr>
        <w:t>第一部分 部门（单位）概况</w:t>
      </w:r>
    </w:p>
    <w:p w14:paraId="4762C8B8">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ascii="黑体" w:hAnsi="黑体" w:eastAsia="黑体" w:cs="黑体"/>
          <w:b/>
          <w:bCs/>
          <w:kern w:val="0"/>
          <w:sz w:val="27"/>
          <w:szCs w:val="27"/>
          <w:highlight w:val="none"/>
        </w:rPr>
      </w:pPr>
      <w:r>
        <w:rPr>
          <w:rFonts w:ascii="黑体" w:hAnsi="黑体" w:eastAsia="黑体" w:cs="黑体"/>
          <w:b/>
          <w:bCs/>
          <w:kern w:val="0"/>
          <w:sz w:val="27"/>
          <w:szCs w:val="27"/>
          <w:highlight w:val="none"/>
        </w:rPr>
        <w:t>一、主要职能、职责</w:t>
      </w:r>
    </w:p>
    <w:p w14:paraId="0E2A2D2C">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包头市城市基础设施运行监控技术中心，为包头市住房和城乡建设局所属相当于正科级公益一类事业单位。主要职能为：</w:t>
      </w:r>
    </w:p>
    <w:p w14:paraId="2782F03B">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1.承担市住房和城乡建设信息</w:t>
      </w:r>
      <w:r>
        <w:rPr>
          <w:rFonts w:hint="eastAsia" w:ascii="仿宋_GB2312" w:hAnsi="仿宋_GB2312" w:eastAsia="仿宋_GB2312" w:cs="仿宋_GB2312"/>
          <w:kern w:val="0"/>
          <w:sz w:val="27"/>
          <w:szCs w:val="27"/>
          <w:highlight w:val="none"/>
          <w:lang w:eastAsia="zh-CN"/>
        </w:rPr>
        <w:t>数字化</w:t>
      </w:r>
      <w:r>
        <w:rPr>
          <w:rFonts w:hint="eastAsia" w:ascii="仿宋_GB2312" w:hAnsi="仿宋_GB2312" w:eastAsia="仿宋_GB2312" w:cs="仿宋_GB2312"/>
          <w:kern w:val="0"/>
          <w:sz w:val="27"/>
          <w:szCs w:val="27"/>
          <w:highlight w:val="none"/>
        </w:rPr>
        <w:t>发展规划、政策措施、应用推广、技术研究和标准规范编制等工作。</w:t>
      </w:r>
    </w:p>
    <w:p w14:paraId="376C3E29">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2.承担市住房和城乡建设电子政务系统、行业业务监管系统、信息化基础设施的建设、管理与技术服务工作。</w:t>
      </w:r>
    </w:p>
    <w:p w14:paraId="4C70D3C6">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3.承担市住房和城乡建设领域“智慧住建”数据资源、人工智能应用、信息安全、信息平台整合共享等统筹管理工作。</w:t>
      </w:r>
    </w:p>
    <w:p w14:paraId="681CD65A">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4.承担包头市住房和城乡建设局门户网站及其它各类信息平台的建设管理、运行维护工作。</w:t>
      </w:r>
    </w:p>
    <w:p w14:paraId="41C96A70">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5.承担局系统网络建设、网络安全等技术服务工作。</w:t>
      </w:r>
    </w:p>
    <w:p w14:paraId="73086FEA">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6.承担局系统信息发布、舆论引导、舆情监测等相关工作。</w:t>
      </w:r>
    </w:p>
    <w:p w14:paraId="5782196E">
      <w:pPr>
        <w:pStyle w:val="2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7.承担局系统各单位信息上报和对外宣传的督促指导工作。</w:t>
      </w:r>
    </w:p>
    <w:p w14:paraId="2DECFA71">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ascii="黑体" w:hAnsi="黑体" w:eastAsia="黑体" w:cs="黑体"/>
          <w:b/>
          <w:bCs/>
          <w:kern w:val="0"/>
          <w:sz w:val="27"/>
          <w:szCs w:val="27"/>
          <w:highlight w:val="none"/>
        </w:rPr>
      </w:pPr>
      <w:r>
        <w:rPr>
          <w:rFonts w:ascii="黑体" w:hAnsi="黑体" w:eastAsia="黑体" w:cs="黑体"/>
          <w:b/>
          <w:bCs/>
          <w:kern w:val="0"/>
          <w:sz w:val="27"/>
          <w:szCs w:val="27"/>
          <w:highlight w:val="none"/>
        </w:rPr>
        <w:t>二、部门（单位）机构设置及决算单位构成情况</w:t>
      </w:r>
    </w:p>
    <w:p w14:paraId="3106B1B5">
      <w:pPr>
        <w:keepNext w:val="0"/>
        <w:keepLines w:val="0"/>
        <w:pageBreakBefore w:val="0"/>
        <w:widowControl/>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1.根据单位职责分工，本单位内设机构包括办公室、政工劳资股、信息宣传股、新闻舆情股、精神文明办，网络建设规划股、系统建设管理股及网络安全服务股。本单位无下属单位。</w:t>
      </w:r>
    </w:p>
    <w:p w14:paraId="0AD5C001">
      <w:pPr>
        <w:keepNext w:val="0"/>
        <w:keepLines w:val="0"/>
        <w:pageBreakBefore w:val="0"/>
        <w:widowControl/>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7"/>
          <w:szCs w:val="27"/>
          <w:highlight w:val="none"/>
        </w:rPr>
        <w:t>2.从决算单位构成看，纳入本单位决算编制范围的预算单位共计1家，具体包括：包头市城市基础设施运行监控技术中心。详细情况见表：</w:t>
      </w:r>
    </w:p>
    <w:tbl>
      <w:tblPr>
        <w:tblStyle w:val="18"/>
        <w:tblW w:w="735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740"/>
        <w:gridCol w:w="4399"/>
        <w:gridCol w:w="2220"/>
      </w:tblGrid>
      <w:tr w14:paraId="66087C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69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F91AA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序号</w:t>
            </w:r>
          </w:p>
        </w:tc>
        <w:tc>
          <w:tcPr>
            <w:tcW w:w="436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27F915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单位名称</w:t>
            </w:r>
          </w:p>
        </w:tc>
        <w:tc>
          <w:tcPr>
            <w:tcW w:w="217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0AA191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单位性质</w:t>
            </w:r>
          </w:p>
        </w:tc>
      </w:tr>
      <w:tr w14:paraId="4543D6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69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1EC44A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1</w:t>
            </w:r>
          </w:p>
        </w:tc>
        <w:tc>
          <w:tcPr>
            <w:tcW w:w="436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7839C2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包头市城市基础设施运行监控技术中心</w:t>
            </w:r>
          </w:p>
        </w:tc>
        <w:tc>
          <w:tcPr>
            <w:tcW w:w="2175"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312C17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公益一类事业单位</w:t>
            </w:r>
          </w:p>
        </w:tc>
      </w:tr>
    </w:tbl>
    <w:p w14:paraId="6E7EB449">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ascii="黑体" w:hAnsi="黑体" w:eastAsia="黑体" w:cs="黑体"/>
          <w:b/>
          <w:bCs/>
          <w:kern w:val="0"/>
          <w:sz w:val="27"/>
          <w:szCs w:val="27"/>
          <w:highlight w:val="none"/>
        </w:rPr>
      </w:pPr>
      <w:r>
        <w:rPr>
          <w:rFonts w:ascii="黑体" w:hAnsi="黑体" w:eastAsia="黑体" w:cs="黑体"/>
          <w:b/>
          <w:bCs/>
          <w:kern w:val="0"/>
          <w:sz w:val="27"/>
          <w:szCs w:val="27"/>
          <w:highlight w:val="none"/>
        </w:rPr>
        <w:t>三、2024年度部门（单位）主要工作完成情况</w:t>
      </w:r>
    </w:p>
    <w:p w14:paraId="0D56C2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（一）新闻舆情处置方面</w:t>
      </w:r>
    </w:p>
    <w:p w14:paraId="1B87EB0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1.通过局官微，专题宣传中央、自治区及市委重大决策部署。协助机关纪委、办公室、政策研究室完成全市加强“一把手”纪律教育暨党风廉政建设观摩交流会展板宣传材料。按照局领导要求，11月份开始接手局一楼宣传展板的协调汇编工作，已更新5块展板。</w:t>
      </w:r>
    </w:p>
    <w:p w14:paraId="00E8F250">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2.主动对接自治区及市属媒体，围绕我局承担的2024年全市重点工作，集中宣传贯彻落实自治区“六大工程”涉及住建领域的工程进展情况（政策落地工程、温暖工程、诚信建设工程）；全面提升城市建设管理水平（“夹心房”改造、林南平房区改造、城镇老旧小区改造、城市基础设施生命线安全工程、住宅小区雨污混流问题整改）；不断完善住房市场和住房保障体系（房地产市场精准调控、房地产业转型升级、防范化解房地产领域风险、加大住房保障力度、强化住房公积金服务保障功能）；全力推动建筑业高质量发展（增强本地建筑业企业核心竞争力、支持本土建筑业企业发展、推动惠企政策落实落地、打造本土建筑业品牌）；持续提升物业服务管理水平（巩固深化“红色物业”创建成果、开展住宅物业服务全覆盖提</w:t>
      </w:r>
      <w:r>
        <w:rPr>
          <w:rFonts w:hint="eastAsia" w:ascii="楷体" w:hAnsi="楷体" w:eastAsia="楷体"/>
          <w:kern w:val="0"/>
          <w:sz w:val="27"/>
          <w:szCs w:val="27"/>
          <w:highlight w:val="none"/>
        </w:rPr>
        <w:t>品质</w:t>
      </w:r>
      <w:r>
        <w:rPr>
          <w:rFonts w:hint="eastAsia" w:ascii="仿宋_GB2312" w:hAnsi="仿宋_GB2312" w:eastAsia="仿宋_GB2312" w:cs="仿宋_GB2312"/>
          <w:b w:val="0"/>
          <w:bCs w:val="0"/>
          <w:kern w:val="0"/>
          <w:sz w:val="27"/>
          <w:szCs w:val="27"/>
          <w:highlight w:val="none"/>
        </w:rPr>
        <w:t>三年行动）；持续优化营商环境（打响建设工程消防审验攻坚战、深化工程建设项目审批制度改革）；加快推动住建领域绿色低碳转型（促进规模化绿色建筑发展、发展装配式建筑、推进建筑节能改造）；全力保障住建行业领域安全稳定（整治自建房及危旧房、强化建设工程监督管理、巩固深化城镇燃气领域专项整治工作成果、开展12345热线办理攻坚行动）等八个方面重点工作。截至目前，协调自治区、市级媒体采制、播发新闻稿件285篇：其中重点推送制作“夹心房”改造稿件100篇；林南平房区改造安置房建设项目稿件60篇；“温暖工程”相关稿件40篇；建安大街顺利通车稿件10篇；老旧小区改造、保障性住房稿件20篇；2024年包头市第四届、第五届线上房交会稿件35篇；公积金灵缴稿件20篇。</w:t>
      </w:r>
    </w:p>
    <w:p w14:paraId="7C951FBD">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3.完成“包头市住建行业党委成立</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内蒙古城市生命线数字产业发展有限公司揭牌仪式暨包头市城市生命线安全工程启动仪式隆重举行”的新闻采制和播发工作。</w:t>
      </w:r>
    </w:p>
    <w:p w14:paraId="23332FB9">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 xml:space="preserve">4.全程参与2024年包头市第四届线上房交会媒体宣传和新闻采制工作，直接参与“房交会走进全市工业园区”活动6次，拍摄留存相关影像资料，完成《品牌日—房交会优秀参展项目》10期新闻采制工作，播发稿件30篇。 </w:t>
      </w:r>
    </w:p>
    <w:p w14:paraId="5F50CCA8">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5.发布《包头住房和城乡建设》官方微信公众号245期，稿件887篇，局官网同步转载；编发《包头住建信息》期刊23期；制作发布《包头市住房和城乡建设局》抖音44条。</w:t>
      </w:r>
    </w:p>
    <w:p w14:paraId="65D865E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6.协调局相关部门录制《行风热线》6期，《包头观察》6期，积极回应《行风热线</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包头观察</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包融头条</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包头日报</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包头发布》等栏目发来的住建领域网民留言、问题80条。</w:t>
      </w:r>
    </w:p>
    <w:p w14:paraId="45E716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（二）政务信息宣传方面</w:t>
      </w:r>
    </w:p>
    <w:p w14:paraId="39E0D4FA">
      <w:pPr>
        <w:pStyle w:val="30"/>
        <w:keepNext w:val="0"/>
        <w:keepLines w:val="0"/>
        <w:pageBreakBefore w:val="0"/>
        <w:kinsoku/>
        <w:wordWrap/>
        <w:overflowPunct/>
        <w:topLinePunct w:val="0"/>
        <w:autoSpaceDE/>
        <w:autoSpaceDN/>
        <w:bidi w:val="0"/>
        <w:adjustRightInd/>
        <w:snapToGrid/>
        <w:spacing w:line="240" w:lineRule="auto"/>
        <w:ind w:left="0" w:leftChars="0"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1.定期跟踪发布局工作动态，做好政务公开栏目内容发布和更新；开展政府网站工作年度报表填报工作，配合信息化建设科完成《市住建局2023年政府信息公开年度工作报告》；配合建筑市场监管科设置建筑业企业资质换证通知飘窗并及时推送公告，完成住建局机关和局属10家单位预算和决算公开。截至11月底，共整理发布信息2210条，局官网访问量达73.7万次，累计总访问量11628，322次。</w:t>
      </w:r>
    </w:p>
    <w:p w14:paraId="7A983A2B">
      <w:pPr>
        <w:pStyle w:val="30"/>
        <w:keepNext w:val="0"/>
        <w:keepLines w:val="0"/>
        <w:pageBreakBefore w:val="0"/>
        <w:kinsoku/>
        <w:wordWrap/>
        <w:overflowPunct/>
        <w:topLinePunct w:val="0"/>
        <w:autoSpaceDE/>
        <w:autoSpaceDN/>
        <w:bidi w:val="0"/>
        <w:adjustRightInd/>
        <w:snapToGrid/>
        <w:spacing w:line="240" w:lineRule="auto"/>
        <w:ind w:left="0" w:leftChars="0"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2.完成局官网网络宣传任务103条，开展诚信建设网上宣传，在局官网、局微信公众号悬挂“诚信建设工程”相关宣传标语，增设了诚信建设工程专栏，发布信息49条；向住建厅网站和市政府网站报送住建信息352条；增设党纪学习教育专栏，发布信息107条；在公益法治宣传教育栏开展《中华人民共和国行政复议法》、消防安全、保密工作、边防政策等专项宣传；每月不定时对局官网涉及有敏感人员、错别字、错敏词的信息进行筛查和整改；每季度按时上报《政府网站有害信息删除情况统计表》。</w:t>
      </w:r>
    </w:p>
    <w:p w14:paraId="56FDAC69">
      <w:pPr>
        <w:pStyle w:val="30"/>
        <w:keepNext w:val="0"/>
        <w:keepLines w:val="0"/>
        <w:pageBreakBefore w:val="0"/>
        <w:kinsoku/>
        <w:wordWrap/>
        <w:overflowPunct/>
        <w:topLinePunct w:val="0"/>
        <w:autoSpaceDE/>
        <w:autoSpaceDN/>
        <w:bidi w:val="0"/>
        <w:adjustRightInd/>
        <w:snapToGrid/>
        <w:spacing w:line="240" w:lineRule="auto"/>
        <w:ind w:left="0" w:leftChars="0"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3.规范完善了“局长信箱”和黄河云平台“民呼我应”答复模板，添加了业务工作部门咨询电话，建立受理台账等。回复局长信箱337件、答复黄河云“民呼我应”处理平台问题280条。</w:t>
      </w:r>
    </w:p>
    <w:p w14:paraId="206E17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（三）网络安全保障方面</w:t>
      </w:r>
    </w:p>
    <w:p w14:paraId="4D78F9D1">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1.做好重要时间节点、节假日期间局官网应急值守工作，共完成应急值守工作7次。</w:t>
      </w:r>
    </w:p>
    <w:p w14:paraId="5E608251">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2.保障局机关科室及各驻楼单位网络使用环境正常，做好各科室计算机软件、网络及办公设备维护，提供网站技术支持，处理政务外网网络与信息安全监测告警5次。累计完成现场处理333次、故障处理830项。</w:t>
      </w:r>
    </w:p>
    <w:p w14:paraId="531F29B3">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3.启动大楼网络应急响应3次，网络安全风险通报处理6次。</w:t>
      </w:r>
    </w:p>
    <w:p w14:paraId="1576FD95">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4.配合信息化建设科开展政务信息系统商用密码采集工作和网络安全专项检查服务工作。</w:t>
      </w:r>
    </w:p>
    <w:p w14:paraId="2CF7F5DA">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5.报送《包头市住房和城乡建设局应对CentOS停服的情况说明</w:t>
      </w:r>
      <w:r>
        <w:rPr>
          <w:rFonts w:hint="eastAsia" w:ascii="仿宋_GB2312" w:hAnsi="仿宋_GB2312" w:eastAsia="仿宋_GB2312" w:cs="仿宋_GB2312"/>
          <w:kern w:val="0"/>
          <w:sz w:val="27"/>
          <w:szCs w:val="27"/>
          <w:highlight w:val="none"/>
          <w:lang w:eastAsia="zh-CN"/>
        </w:rPr>
        <w:t>》《</w:t>
      </w:r>
      <w:r>
        <w:rPr>
          <w:rFonts w:hint="eastAsia" w:ascii="仿宋_GB2312" w:hAnsi="仿宋_GB2312" w:eastAsia="仿宋_GB2312" w:cs="仿宋_GB2312"/>
          <w:kern w:val="0"/>
          <w:sz w:val="27"/>
          <w:szCs w:val="27"/>
          <w:highlight w:val="none"/>
        </w:rPr>
        <w:t>应对CentOS停服工作台账》；印发《关于成立网络安全和信息化工作领导小组的通知</w:t>
      </w:r>
      <w:r>
        <w:rPr>
          <w:rFonts w:hint="eastAsia" w:ascii="仿宋_GB2312" w:hAnsi="仿宋_GB2312" w:eastAsia="仿宋_GB2312" w:cs="仿宋_GB2312"/>
          <w:kern w:val="0"/>
          <w:sz w:val="27"/>
          <w:szCs w:val="27"/>
          <w:highlight w:val="none"/>
          <w:lang w:eastAsia="zh-CN"/>
        </w:rPr>
        <w:t>》《</w:t>
      </w:r>
      <w:r>
        <w:rPr>
          <w:rFonts w:hint="eastAsia" w:ascii="仿宋_GB2312" w:hAnsi="仿宋_GB2312" w:eastAsia="仿宋_GB2312" w:cs="仿宋_GB2312"/>
          <w:kern w:val="0"/>
          <w:sz w:val="27"/>
          <w:szCs w:val="27"/>
          <w:highlight w:val="none"/>
        </w:rPr>
        <w:t>数据安全管理规范（试行）</w:t>
      </w:r>
      <w:r>
        <w:rPr>
          <w:rFonts w:hint="eastAsia" w:ascii="仿宋_GB2312" w:hAnsi="仿宋_GB2312" w:eastAsia="仿宋_GB2312" w:cs="仿宋_GB2312"/>
          <w:kern w:val="0"/>
          <w:sz w:val="27"/>
          <w:szCs w:val="27"/>
          <w:highlight w:val="none"/>
          <w:lang w:eastAsia="zh-CN"/>
        </w:rPr>
        <w:t>》《</w:t>
      </w:r>
      <w:r>
        <w:rPr>
          <w:rFonts w:hint="eastAsia" w:ascii="仿宋_GB2312" w:hAnsi="仿宋_GB2312" w:eastAsia="仿宋_GB2312" w:cs="仿宋_GB2312"/>
          <w:kern w:val="0"/>
          <w:sz w:val="27"/>
          <w:szCs w:val="27"/>
          <w:highlight w:val="none"/>
        </w:rPr>
        <w:t>“春节、十四冬”期间网络安全应急预案</w:t>
      </w:r>
      <w:r>
        <w:rPr>
          <w:rFonts w:hint="eastAsia" w:ascii="仿宋_GB2312" w:hAnsi="仿宋_GB2312" w:eastAsia="仿宋_GB2312" w:cs="仿宋_GB2312"/>
          <w:kern w:val="0"/>
          <w:sz w:val="27"/>
          <w:szCs w:val="27"/>
          <w:highlight w:val="none"/>
          <w:lang w:eastAsia="zh-CN"/>
        </w:rPr>
        <w:t>》《</w:t>
      </w:r>
      <w:r>
        <w:rPr>
          <w:rFonts w:hint="eastAsia" w:ascii="仿宋_GB2312" w:hAnsi="仿宋_GB2312" w:eastAsia="仿宋_GB2312" w:cs="仿宋_GB2312"/>
          <w:kern w:val="0"/>
          <w:sz w:val="27"/>
          <w:szCs w:val="27"/>
          <w:highlight w:val="none"/>
        </w:rPr>
        <w:t>网络安全应急演练方案》等文件。</w:t>
      </w:r>
    </w:p>
    <w:p w14:paraId="485252DE">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6.开展网络安全宣传周活动，组织全体干部职工普及网络安全知识，提升网络安全意识；参加网络安全培训5次。</w:t>
      </w:r>
    </w:p>
    <w:p w14:paraId="537694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（四）数字化发展工作方面</w:t>
      </w:r>
    </w:p>
    <w:p w14:paraId="3163FDA0">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参照《内蒙古自治区“数字住建”建设实施方案》规定，结合我局实际，依托包头市智慧住建综合管理与服务平台，持续推进数据归集、分析整合，建立规范、统一、快速响应的数据管理服务流程，形成覆盖全行业、多层次、规范化的数字住建监管模式。</w:t>
      </w:r>
    </w:p>
    <w:p w14:paraId="4638094D">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持续推进以下两个平台建设：一是包头市清洁取暖智能监管平台（一期）项目，总投资1200万元。覆盖范围包括包头市五个主城区和外五旗县区（白云区本次无改造）。实现对清洁取暖工作进行巡查、监测、预警、分析、评价、服务的全周期管理，解决综合管理难问题，对居民清洁取暖效果、企业售后维护质量、热力公司运行情况等动态进行监控，实现了运行可持续、服务可追踪、绩效可评判，方便政府监管和企业维护。目前，平台已完成全部功能开发，平台进入试运行，基本达到设计目标。实现了“煤改电</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煤改气</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煤改集中供热”三种改造方式全覆盖和九个旗县区（白云区无改造任务）全覆盖。目前，正在进行平台等保测评工作，力争12月底完成项目终验。</w:t>
      </w:r>
    </w:p>
    <w:p w14:paraId="5209C79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二是包头市智慧住建综合管理与服务平台（一期）项目，总投资3100万元。目前，该项目已完成系统开发、数据对接、汇聚以及住建大数据库、大数据平台、接诉即办工单处理系统、综合管理系统等软件系统的开发建设和相关设备购置工作。优化调整项目建设内容包括提升包头市燃热综合监管平台相关功能、增加城市更新专题系统，软件部分已完成包头市燃热综合监管平台功能清单梳理。18楼指挥中心已于11月18日开始拆除施工，预计12月底完成大厅装修内容。目前项目拨付资金为零，应化解债务总额为2302万元，经多次与债权人进行政策传达和沟通协商，已全部同意化债政策</w:t>
      </w:r>
      <w:r>
        <w:rPr>
          <w:rFonts w:hint="eastAsia" w:ascii="仿宋_GB2312" w:hAnsi="仿宋_GB2312" w:eastAsia="仿宋_GB2312" w:cs="仿宋_GB2312"/>
          <w:b w:val="0"/>
          <w:bCs w:val="0"/>
          <w:kern w:val="0"/>
          <w:sz w:val="27"/>
          <w:szCs w:val="27"/>
          <w:highlight w:val="none"/>
          <w:lang w:eastAsia="zh-CN"/>
        </w:rPr>
        <w:t>，</w:t>
      </w:r>
      <w:r>
        <w:rPr>
          <w:rFonts w:hint="eastAsia" w:ascii="仿宋_GB2312" w:hAnsi="仿宋_GB2312" w:eastAsia="仿宋_GB2312" w:cs="仿宋_GB2312"/>
          <w:b w:val="0"/>
          <w:bCs w:val="0"/>
          <w:kern w:val="0"/>
          <w:sz w:val="27"/>
          <w:szCs w:val="27"/>
          <w:highlight w:val="none"/>
        </w:rPr>
        <w:t>均已签订债权债务清偿协议。</w:t>
      </w:r>
    </w:p>
    <w:p w14:paraId="39C729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（五）党建和党风廉政建设方面</w:t>
      </w:r>
    </w:p>
    <w:p w14:paraId="64EC9563">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1.全面加强党的基层组织建设。一是严格贯彻《党委（党组）意识形态工作责任制实施办法》，支部书记带头落实意识形态工作责任制，做到定期分析研判、定期安排部署。中心党支部已召开4次专题会议，分析研判意识形态（网络意识形态）工作。二是学习贯彻党的二十届三中全会精神，开展集中学习7次，并利用官网、官微进行集中宣传。三是开展“感党恩、听党话、跟党走”群众教育实践活动。截至目前，支部已开展专题学习6次、专题研讨1次，组织观看《北疆党课进行时》专题党课1次，“包头市直属机关党员干部综合能力提升”学习讲坛集中学习3次，参观包头市博物馆主题展览1次。四是开展党纪学习教</w:t>
      </w:r>
      <w:bookmarkStart w:id="1" w:name="_GoBack"/>
      <w:bookmarkEnd w:id="1"/>
      <w:r>
        <w:rPr>
          <w:rFonts w:hint="eastAsia" w:ascii="仿宋_GB2312" w:hAnsi="仿宋_GB2312" w:eastAsia="仿宋_GB2312" w:cs="仿宋_GB2312"/>
          <w:b w:val="0"/>
          <w:bCs w:val="0"/>
          <w:kern w:val="0"/>
          <w:sz w:val="27"/>
          <w:szCs w:val="27"/>
          <w:highlight w:val="none"/>
        </w:rPr>
        <w:t>育。截至目前，组织线上自学3次、集中学习9次，支部书记讲纪律党课2次。五是推动先进典型选树。按照党员积分制管理办法及流动红旗评比办法，推动优秀党员、优秀股室、优秀个人选树常态长效开展，组织党员参与“学雷锋”志愿活动、大青山植树活动、黄河捡拾垃圾等志愿服务活动。六是开展党建合创活动，协同机关党委，牵头组织机关第一党支部、绿促中心党支部前往东河区康乐社区开展铸牢中华民族共同体意识理论宣讲活动，牵头组织综合保障中心、消防审验中心、物业服务中心走进稀土高新区消防救援大队曙光路消防救援站，联合开展“走进消防·共建平安”主题党日活动。七是与包头建工协会共建，开展座谈交流及植树共建活动；与北嘉社区共建，参观陈文学工作室，帮助社区清理小广告等；与包头移动分公司政企部共建，开展座谈交流及数据中心参观活动。</w:t>
      </w:r>
    </w:p>
    <w:p w14:paraId="727EA6E4">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r>
        <w:rPr>
          <w:rFonts w:hint="eastAsia" w:ascii="仿宋_GB2312" w:hAnsi="仿宋_GB2312" w:eastAsia="仿宋_GB2312" w:cs="仿宋_GB2312"/>
          <w:b w:val="0"/>
          <w:bCs w:val="0"/>
          <w:kern w:val="0"/>
          <w:sz w:val="27"/>
          <w:szCs w:val="27"/>
          <w:highlight w:val="none"/>
        </w:rPr>
        <w:t>2.全面加强廉政风险防控。一是内控机制与监督可能存在把关不严，导致项目资金拨付不及时的风险。为此，要严格执行内控制度，加强资金使用监管，确保项目资金按规定拨付使用。二是信息审核发布方面可能存在把关不严，导致宣传工作出现纰漏或滞后的风险。为此，要严格执行信息宣传“三审三校”制度，严把信息编辑、发布质量关；及时关注住建领域最新动态，重点聚焦我局承担全市民生实事好事，杜绝信息发布差错，实现高效、准确宣传。</w:t>
      </w:r>
    </w:p>
    <w:p w14:paraId="2E1732D0">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b w:val="0"/>
          <w:bCs w:val="0"/>
          <w:kern w:val="0"/>
          <w:sz w:val="27"/>
          <w:szCs w:val="27"/>
          <w:highlight w:val="none"/>
        </w:rPr>
      </w:pPr>
    </w:p>
    <w:p w14:paraId="64434175">
      <w:pPr>
        <w:pStyle w:val="3"/>
        <w:keepNext w:val="0"/>
        <w:keepLines w:val="0"/>
        <w:pageBreakBefore w:val="0"/>
        <w:widowControl/>
        <w:kinsoku/>
        <w:wordWrap/>
        <w:overflowPunct/>
        <w:topLinePunct w:val="0"/>
        <w:autoSpaceDE/>
        <w:autoSpaceDN/>
        <w:bidi w:val="0"/>
        <w:adjustRightInd/>
        <w:snapToGrid/>
        <w:spacing w:before="299" w:after="299" w:line="240" w:lineRule="auto"/>
        <w:jc w:val="center"/>
        <w:textAlignment w:val="auto"/>
        <w:rPr>
          <w:rFonts w:ascii="fang_zheng_xiao_biao_song_ti" w:hAnsi="fang_zheng_xiao_biao_song_ti" w:eastAsia="fang_zheng_xiao_biao_song_ti" w:cs="fang_zheng_xiao_biao_song_ti"/>
          <w:kern w:val="0"/>
          <w:sz w:val="36"/>
          <w:szCs w:val="36"/>
          <w:highlight w:val="none"/>
        </w:rPr>
      </w:pPr>
      <w:r>
        <w:rPr>
          <w:rFonts w:ascii="fang_zheng_xiao_biao_song_ti" w:hAnsi="fang_zheng_xiao_biao_song_ti" w:eastAsia="fang_zheng_xiao_biao_song_ti" w:cs="fang_zheng_xiao_biao_song_ti"/>
          <w:kern w:val="0"/>
          <w:sz w:val="36"/>
          <w:szCs w:val="36"/>
          <w:highlight w:val="none"/>
        </w:rPr>
        <w:t>第二部分 部门（单位）决算情况说明</w:t>
      </w:r>
    </w:p>
    <w:p w14:paraId="2F672151">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eastAsia="Times New Roman"/>
          <w:kern w:val="0"/>
          <w:sz w:val="27"/>
          <w:szCs w:val="27"/>
          <w:highlight w:val="none"/>
        </w:rPr>
      </w:pPr>
      <w:r>
        <w:rPr>
          <w:rFonts w:ascii="黑体" w:hAnsi="黑体" w:eastAsia="黑体" w:cs="黑体"/>
          <w:b/>
          <w:bCs/>
          <w:kern w:val="0"/>
          <w:sz w:val="27"/>
          <w:szCs w:val="27"/>
          <w:highlight w:val="none"/>
        </w:rPr>
        <w:t>一、收入支出决算总体情况说明</w:t>
      </w:r>
    </w:p>
    <w:p w14:paraId="0164C6EA">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 2024年度收入、支出决算总计均为1687.82万元。与年初预算相比，收、支总计各增加1151.38万元，增长214.63%，变动原因：</w:t>
      </w:r>
      <w:r>
        <w:rPr>
          <w:rFonts w:hint="eastAsia" w:ascii="仿宋_GB2312" w:hAnsi="仿宋_GB2312" w:eastAsia="仿宋_GB2312" w:cs="仿宋_GB2312"/>
          <w:kern w:val="0"/>
          <w:sz w:val="27"/>
          <w:szCs w:val="27"/>
          <w:highlight w:val="none"/>
          <w:u w:val="none" w:color="auto"/>
        </w:rPr>
        <w:t>上年结转结余专项资金592.11万元，本年度主管部门拨付专项资金571.84万元，人员经费因取消艰苦边远地区补助津贴补贴支出减少</w:t>
      </w:r>
      <w:r>
        <w:rPr>
          <w:rFonts w:hint="eastAsia" w:ascii="仿宋_GB2312" w:hAnsi="仿宋_GB2312" w:eastAsia="仿宋_GB2312" w:cs="仿宋_GB2312"/>
          <w:color w:val="000000"/>
          <w:kern w:val="0"/>
          <w:sz w:val="27"/>
          <w:szCs w:val="27"/>
          <w:highlight w:val="none"/>
          <w:u w:val="none" w:color="auto"/>
        </w:rPr>
        <w:t>；与上年决算相比，收、支总计各增加621.45万元，增长58.28%。其中：</w:t>
      </w:r>
    </w:p>
    <w:p w14:paraId="0A2160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（一）收入决算总计1687.82万元。包括：</w:t>
      </w:r>
    </w:p>
    <w:p w14:paraId="55119835">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1.本年收入决算合计1092.12万元。与上年决算相比，增加628.12万元，增长135.37%，变动原因：</w:t>
      </w:r>
      <w:r>
        <w:rPr>
          <w:rFonts w:hint="eastAsia" w:ascii="仿宋_GB2312" w:hAnsi="仿宋_GB2312" w:eastAsia="仿宋_GB2312" w:cs="仿宋_GB2312"/>
          <w:kern w:val="0"/>
          <w:sz w:val="27"/>
          <w:szCs w:val="27"/>
          <w:highlight w:val="none"/>
          <w:u w:val="none" w:color="auto"/>
        </w:rPr>
        <w:t>主要为本年主管局拨付专项资金571.84万元</w:t>
      </w:r>
      <w:r>
        <w:rPr>
          <w:rFonts w:hint="eastAsia" w:ascii="仿宋_GB2312" w:hAnsi="仿宋_GB2312" w:eastAsia="仿宋_GB2312" w:cs="仿宋_GB2312"/>
          <w:color w:val="000000"/>
          <w:kern w:val="0"/>
          <w:sz w:val="27"/>
          <w:szCs w:val="27"/>
          <w:highlight w:val="none"/>
          <w:u w:val="none" w:color="auto"/>
        </w:rPr>
        <w:t>。</w:t>
      </w:r>
    </w:p>
    <w:p w14:paraId="7F921F32">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2.使用非财政拨款结余（含专用结余）0万元。与上年决算相比，增加0万元，增长0%，变动原因：</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w:t>
      </w:r>
    </w:p>
    <w:p w14:paraId="5E56FA54">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3.年初结转和结余595.70万元。与上年决算相比，减少6.67万元，下降1.11%，变动原因：</w:t>
      </w:r>
      <w:r>
        <w:rPr>
          <w:rFonts w:hint="eastAsia" w:ascii="仿宋_GB2312" w:hAnsi="仿宋_GB2312" w:eastAsia="仿宋_GB2312" w:cs="仿宋_GB2312"/>
          <w:kern w:val="0"/>
          <w:sz w:val="27"/>
          <w:szCs w:val="27"/>
          <w:highlight w:val="none"/>
          <w:u w:val="none" w:color="auto"/>
        </w:rPr>
        <w:t>本年使用上年度结转专项资金支付专项费用</w:t>
      </w:r>
      <w:r>
        <w:rPr>
          <w:rFonts w:hint="eastAsia" w:ascii="仿宋_GB2312" w:hAnsi="仿宋_GB2312" w:eastAsia="仿宋_GB2312" w:cs="仿宋_GB2312"/>
          <w:color w:val="000000"/>
          <w:kern w:val="0"/>
          <w:sz w:val="27"/>
          <w:szCs w:val="27"/>
          <w:highlight w:val="none"/>
          <w:u w:val="none" w:color="auto"/>
        </w:rPr>
        <w:t>。</w:t>
      </w:r>
    </w:p>
    <w:p w14:paraId="7CFF274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（二）支出决算总计1687.82万元。包括：</w:t>
      </w:r>
    </w:p>
    <w:p w14:paraId="062A143E">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1.本年支出决算合计1428.76万元。与上年决算相比，增加958.09万元，增长203.56%，变动原因：</w:t>
      </w:r>
      <w:r>
        <w:rPr>
          <w:rFonts w:hint="eastAsia" w:ascii="仿宋_GB2312" w:hAnsi="仿宋_GB2312" w:eastAsia="仿宋_GB2312" w:cs="仿宋_GB2312"/>
          <w:kern w:val="0"/>
          <w:sz w:val="27"/>
          <w:szCs w:val="27"/>
          <w:highlight w:val="none"/>
          <w:u w:val="none" w:color="auto"/>
        </w:rPr>
        <w:t>本年度市清洁取暖专项支出较上年增加899.51万元，本年度因新招录人员及工资基数调增人员经费、公用经费增加58.58万元</w:t>
      </w:r>
      <w:r>
        <w:rPr>
          <w:rFonts w:hint="eastAsia" w:ascii="仿宋_GB2312" w:hAnsi="仿宋_GB2312" w:eastAsia="仿宋_GB2312" w:cs="仿宋_GB2312"/>
          <w:color w:val="000000"/>
          <w:kern w:val="0"/>
          <w:sz w:val="27"/>
          <w:szCs w:val="27"/>
          <w:highlight w:val="none"/>
          <w:u w:val="none" w:color="auto"/>
        </w:rPr>
        <w:t>。</w:t>
      </w:r>
    </w:p>
    <w:p w14:paraId="01E40FB8">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2.结余分配0万元。结余分配事项：</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。与上年决算相比，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w:t>
      </w:r>
    </w:p>
    <w:p w14:paraId="769C55A6">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3.年末结转和结余259.06万元。结转和结余事项：</w:t>
      </w:r>
      <w:r>
        <w:rPr>
          <w:rFonts w:hint="eastAsia" w:ascii="仿宋_GB2312" w:hAnsi="仿宋_GB2312" w:eastAsia="仿宋_GB2312" w:cs="仿宋_GB2312"/>
          <w:kern w:val="0"/>
          <w:sz w:val="27"/>
          <w:szCs w:val="27"/>
          <w:highlight w:val="none"/>
          <w:u w:val="none" w:color="auto"/>
        </w:rPr>
        <w:t>主管局拨付专项资金256.55万元，上级补助工作经费1.08万元，以前年度结余资金1.43万元</w:t>
      </w:r>
      <w:r>
        <w:rPr>
          <w:rFonts w:hint="eastAsia" w:ascii="仿宋_GB2312" w:hAnsi="仿宋_GB2312" w:eastAsia="仿宋_GB2312" w:cs="仿宋_GB2312"/>
          <w:color w:val="000000"/>
          <w:kern w:val="0"/>
          <w:sz w:val="27"/>
          <w:szCs w:val="27"/>
          <w:highlight w:val="none"/>
          <w:u w:val="none" w:color="auto"/>
        </w:rPr>
        <w:t>。与上年决算相比，减少336.64万元，下降56.51%，变动原因：</w:t>
      </w:r>
      <w:r>
        <w:rPr>
          <w:rFonts w:hint="eastAsia" w:ascii="仿宋_GB2312" w:hAnsi="仿宋_GB2312" w:eastAsia="仿宋_GB2312" w:cs="仿宋_GB2312"/>
          <w:kern w:val="0"/>
          <w:sz w:val="27"/>
          <w:szCs w:val="27"/>
          <w:highlight w:val="none"/>
          <w:u w:val="none" w:color="auto"/>
        </w:rPr>
        <w:t>本年度使用结转资金支付清洁取暖专项</w:t>
      </w:r>
      <w:r>
        <w:rPr>
          <w:rFonts w:hint="eastAsia" w:ascii="仿宋_GB2312" w:hAnsi="仿宋_GB2312" w:eastAsia="仿宋_GB2312" w:cs="仿宋_GB2312"/>
          <w:color w:val="000000"/>
          <w:kern w:val="0"/>
          <w:sz w:val="27"/>
          <w:szCs w:val="27"/>
          <w:highlight w:val="none"/>
          <w:u w:val="none" w:color="auto"/>
        </w:rPr>
        <w:t>。</w:t>
      </w:r>
    </w:p>
    <w:p w14:paraId="230C48D1">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ascii="黑体" w:hAnsi="黑体" w:eastAsia="黑体" w:cs="黑体"/>
          <w:b/>
          <w:bCs/>
          <w:kern w:val="0"/>
          <w:sz w:val="27"/>
          <w:szCs w:val="27"/>
          <w:highlight w:val="none"/>
        </w:rPr>
      </w:pPr>
      <w:r>
        <w:rPr>
          <w:rFonts w:ascii="黑体" w:hAnsi="黑体" w:eastAsia="黑体" w:cs="黑体"/>
          <w:b/>
          <w:bCs/>
          <w:kern w:val="0"/>
          <w:sz w:val="27"/>
          <w:szCs w:val="27"/>
          <w:highlight w:val="none"/>
        </w:rPr>
        <w:t>二、收入决算情况说明</w:t>
      </w:r>
    </w:p>
    <w:p w14:paraId="54FCCADF">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内蒙古自治区包头市城市基础设施运行监控技术中心2024年度本年收入决算合计1092.12万元，其中：</w:t>
      </w:r>
    </w:p>
    <w:p w14:paraId="0B0E4448">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本年一般公共预算财政拨款收入519.99万元，占47.61%；</w:t>
      </w:r>
    </w:p>
    <w:p w14:paraId="3D7E9BE3">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本年政府性基金预算财政拨款收入0万元，占0%；</w:t>
      </w:r>
    </w:p>
    <w:p w14:paraId="3C23711C">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本年国有资本经营预算财政拨款收入0万元，占0%；</w:t>
      </w:r>
    </w:p>
    <w:p w14:paraId="6DA81693">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本年上级补助收入0万元，占0%；</w:t>
      </w:r>
    </w:p>
    <w:p w14:paraId="14DA925A">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本年事业收入0万元，占0%；</w:t>
      </w:r>
    </w:p>
    <w:p w14:paraId="447BBF8D">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本年经营收入0万元，占0%；</w:t>
      </w:r>
    </w:p>
    <w:p w14:paraId="3AA1EAFA">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本年附属单位上缴收入0万元，占0%；</w:t>
      </w:r>
    </w:p>
    <w:p w14:paraId="24771363">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本年其他收入572.13万元，占52.39%。</w:t>
      </w:r>
    </w:p>
    <w:p w14:paraId="7A1DAC9D">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7"/>
          <w:szCs w:val="27"/>
          <w:highlight w:val="none"/>
          <w:u w:val="none" w:color="auto"/>
        </w:rPr>
      </w:pPr>
    </w:p>
    <w:p w14:paraId="4AC66053">
      <w:pPr>
        <w:widowControl/>
        <w:spacing w:before="240" w:after="240"/>
        <w:jc w:val="center"/>
        <w:rPr>
          <w:rFonts w:hint="eastAsia" w:eastAsia="宋体"/>
          <w:kern w:val="0"/>
          <w:sz w:val="24"/>
          <w:highlight w:val="none"/>
          <w:lang w:eastAsia="zh-CN"/>
        </w:rPr>
      </w:pPr>
      <w:r>
        <w:rPr>
          <w:rFonts w:eastAsia="Times New Roman"/>
          <w:kern w:val="0"/>
          <w:sz w:val="24"/>
          <w:highlight w:val="none"/>
        </w:rPr>
        <w:drawing>
          <wp:inline distT="0" distB="0" distL="114300" distR="114300">
            <wp:extent cx="6532245" cy="4081780"/>
            <wp:effectExtent l="0" t="0" r="190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532245" cy="4081780"/>
                    </a:xfrm>
                    <a:prstGeom prst="rect">
                      <a:avLst/>
                    </a:prstGeom>
                    <a:noFill/>
                    <a:ln>
                      <a:noFill/>
                    </a:ln>
                  </pic:spPr>
                </pic:pic>
              </a:graphicData>
            </a:graphic>
          </wp:inline>
        </w:drawing>
      </w:r>
      <w:r>
        <w:rPr>
          <w:rFonts w:eastAsia="Times New Roman"/>
          <w:kern w:val="0"/>
          <w:sz w:val="24"/>
          <w:highlight w:val="none"/>
        </w:rPr>
        <w:t xml:space="preserve"> </w:t>
      </w:r>
    </w:p>
    <w:p w14:paraId="5F326047">
      <w:pPr>
        <w:widowControl/>
        <w:spacing w:before="240" w:after="240"/>
        <w:jc w:val="center"/>
        <w:rPr>
          <w:rFonts w:eastAsia="Times New Roman"/>
          <w:kern w:val="0"/>
          <w:sz w:val="24"/>
          <w:highlight w:val="none"/>
        </w:rPr>
      </w:pPr>
      <w:r>
        <w:rPr>
          <w:rFonts w:ascii="仿宋_GB2312" w:hAnsi="仿宋_GB2312" w:eastAsia="仿宋_GB2312" w:cs="仿宋_GB2312"/>
          <w:kern w:val="0"/>
          <w:sz w:val="27"/>
          <w:szCs w:val="27"/>
          <w:highlight w:val="none"/>
        </w:rPr>
        <w:t>图</w:t>
      </w:r>
      <w:r>
        <w:rPr>
          <w:rFonts w:ascii="times_new_roman" w:hAnsi="times_new_roman" w:eastAsia="times_new_roman" w:cs="times_new_roman"/>
          <w:kern w:val="0"/>
          <w:sz w:val="27"/>
          <w:szCs w:val="27"/>
          <w:highlight w:val="none"/>
        </w:rPr>
        <w:t>1</w:t>
      </w:r>
      <w:r>
        <w:rPr>
          <w:rFonts w:ascii="仿宋_GB2312" w:hAnsi="仿宋_GB2312" w:eastAsia="仿宋_GB2312" w:cs="仿宋_GB2312"/>
          <w:kern w:val="0"/>
          <w:sz w:val="27"/>
          <w:szCs w:val="27"/>
          <w:highlight w:val="none"/>
        </w:rPr>
        <w:t>.收入决算图</w:t>
      </w:r>
    </w:p>
    <w:p w14:paraId="6007ADB9">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ascii="黑体" w:hAnsi="黑体" w:eastAsia="黑体" w:cs="黑体"/>
          <w:b/>
          <w:bCs/>
          <w:kern w:val="0"/>
          <w:sz w:val="27"/>
          <w:szCs w:val="27"/>
          <w:highlight w:val="none"/>
        </w:rPr>
        <w:t>三、支出决算情况说明</w:t>
      </w:r>
    </w:p>
    <w:p w14:paraId="1F75EE71">
      <w:pPr>
        <w:keepNext w:val="0"/>
        <w:keepLines w:val="0"/>
        <w:pageBreakBefore w:val="0"/>
        <w:widowControl/>
        <w:kinsoku/>
        <w:wordWrap/>
        <w:overflowPunct/>
        <w:topLinePunct w:val="0"/>
        <w:autoSpaceDE/>
        <w:autoSpaceDN/>
        <w:bidi w:val="0"/>
        <w:adjustRightInd/>
        <w:snapToGrid/>
        <w:ind w:firstLine="540" w:firstLineChars="200"/>
        <w:textAlignment w:val="auto"/>
        <w:rPr>
          <w:rFonts w:eastAsia="Times New Roman"/>
          <w:kern w:val="0"/>
          <w:sz w:val="27"/>
          <w:szCs w:val="27"/>
          <w:highlight w:val="none"/>
          <w:u w:val="none" w:color="auto"/>
        </w:rPr>
      </w:pPr>
      <w:r>
        <w:rPr>
          <w:rFonts w:ascii="仿宋_GB2312" w:hAnsi="仿宋_GB2312" w:eastAsia="仿宋_GB2312" w:cs="仿宋_GB2312"/>
          <w:color w:val="000000"/>
          <w:kern w:val="0"/>
          <w:sz w:val="27"/>
          <w:szCs w:val="27"/>
          <w:highlight w:val="none"/>
          <w:u w:val="none" w:color="auto"/>
        </w:rPr>
        <w:t>内蒙古自治区包头市城市基础设施运行监控技术中心 2024年度本年支出决算合计</w:t>
      </w:r>
      <w:r>
        <w:rPr>
          <w:rFonts w:ascii="times_new_roman" w:hAnsi="times_new_roman" w:eastAsia="times_new_roman" w:cs="times_new_roman"/>
          <w:color w:val="000000"/>
          <w:kern w:val="0"/>
          <w:sz w:val="27"/>
          <w:szCs w:val="27"/>
          <w:highlight w:val="none"/>
          <w:u w:val="none" w:color="auto"/>
        </w:rPr>
        <w:t>1428.76</w:t>
      </w:r>
      <w:r>
        <w:rPr>
          <w:rFonts w:ascii="仿宋_GB2312" w:hAnsi="仿宋_GB2312" w:eastAsia="仿宋_GB2312" w:cs="仿宋_GB2312"/>
          <w:color w:val="000000"/>
          <w:kern w:val="0"/>
          <w:sz w:val="27"/>
          <w:szCs w:val="27"/>
          <w:highlight w:val="none"/>
          <w:u w:val="none" w:color="auto"/>
        </w:rPr>
        <w:t>万元，其中：</w:t>
      </w:r>
    </w:p>
    <w:p w14:paraId="0D7675B4">
      <w:pPr>
        <w:keepNext w:val="0"/>
        <w:keepLines w:val="0"/>
        <w:pageBreakBefore w:val="0"/>
        <w:widowControl/>
        <w:kinsoku/>
        <w:wordWrap/>
        <w:overflowPunct/>
        <w:topLinePunct w:val="0"/>
        <w:autoSpaceDE/>
        <w:autoSpaceDN/>
        <w:bidi w:val="0"/>
        <w:adjustRightInd/>
        <w:snapToGrid/>
        <w:ind w:firstLine="540" w:firstLineChars="200"/>
        <w:textAlignment w:val="auto"/>
        <w:rPr>
          <w:rFonts w:eastAsia="Times New Roman"/>
          <w:kern w:val="0"/>
          <w:sz w:val="27"/>
          <w:szCs w:val="27"/>
          <w:highlight w:val="none"/>
          <w:u w:val="none" w:color="auto"/>
        </w:rPr>
      </w:pPr>
      <w:r>
        <w:rPr>
          <w:rFonts w:ascii="仿宋_GB2312" w:hAnsi="仿宋_GB2312" w:eastAsia="仿宋_GB2312" w:cs="仿宋_GB2312"/>
          <w:color w:val="000000"/>
          <w:kern w:val="0"/>
          <w:sz w:val="27"/>
          <w:szCs w:val="27"/>
          <w:highlight w:val="none"/>
          <w:u w:val="none" w:color="auto"/>
        </w:rPr>
        <w:t>本年基本支出</w:t>
      </w:r>
      <w:r>
        <w:rPr>
          <w:rFonts w:ascii="times_new_roman" w:hAnsi="times_new_roman" w:eastAsia="times_new_roman" w:cs="times_new_roman"/>
          <w:color w:val="000000"/>
          <w:kern w:val="0"/>
          <w:sz w:val="27"/>
          <w:szCs w:val="27"/>
          <w:highlight w:val="none"/>
          <w:u w:val="none" w:color="auto"/>
        </w:rPr>
        <w:t>521.37</w:t>
      </w:r>
      <w:r>
        <w:rPr>
          <w:rFonts w:ascii="仿宋_GB2312" w:hAnsi="仿宋_GB2312" w:eastAsia="仿宋_GB2312" w:cs="仿宋_GB2312"/>
          <w:color w:val="000000"/>
          <w:kern w:val="0"/>
          <w:sz w:val="27"/>
          <w:szCs w:val="27"/>
          <w:highlight w:val="none"/>
          <w:u w:val="none" w:color="auto"/>
        </w:rPr>
        <w:t>万元，占</w:t>
      </w:r>
      <w:r>
        <w:rPr>
          <w:rFonts w:ascii="times_new_roman" w:hAnsi="times_new_roman" w:eastAsia="times_new_roman" w:cs="times_new_roman"/>
          <w:color w:val="000000"/>
          <w:kern w:val="0"/>
          <w:sz w:val="27"/>
          <w:szCs w:val="27"/>
          <w:highlight w:val="none"/>
          <w:u w:val="none" w:color="auto"/>
        </w:rPr>
        <w:t>36.49</w:t>
      </w:r>
      <w:r>
        <w:rPr>
          <w:rFonts w:ascii="仿宋_GB2312" w:hAnsi="仿宋_GB2312" w:eastAsia="仿宋_GB2312" w:cs="仿宋_GB2312"/>
          <w:color w:val="000000"/>
          <w:kern w:val="0"/>
          <w:sz w:val="27"/>
          <w:szCs w:val="27"/>
          <w:highlight w:val="none"/>
          <w:u w:val="none" w:color="auto"/>
        </w:rPr>
        <w:t>%；</w:t>
      </w:r>
    </w:p>
    <w:p w14:paraId="0676026B">
      <w:pPr>
        <w:keepNext w:val="0"/>
        <w:keepLines w:val="0"/>
        <w:pageBreakBefore w:val="0"/>
        <w:widowControl/>
        <w:kinsoku/>
        <w:wordWrap/>
        <w:overflowPunct/>
        <w:topLinePunct w:val="0"/>
        <w:autoSpaceDE/>
        <w:autoSpaceDN/>
        <w:bidi w:val="0"/>
        <w:adjustRightInd/>
        <w:snapToGrid/>
        <w:ind w:firstLine="540" w:firstLineChars="200"/>
        <w:textAlignment w:val="auto"/>
        <w:rPr>
          <w:rFonts w:eastAsia="Times New Roman"/>
          <w:kern w:val="0"/>
          <w:sz w:val="27"/>
          <w:szCs w:val="27"/>
          <w:highlight w:val="none"/>
          <w:u w:val="none" w:color="auto"/>
        </w:rPr>
      </w:pPr>
      <w:r>
        <w:rPr>
          <w:rFonts w:ascii="仿宋_GB2312" w:hAnsi="仿宋_GB2312" w:eastAsia="仿宋_GB2312" w:cs="仿宋_GB2312"/>
          <w:color w:val="000000"/>
          <w:kern w:val="0"/>
          <w:sz w:val="27"/>
          <w:szCs w:val="27"/>
          <w:highlight w:val="none"/>
          <w:u w:val="none" w:color="auto"/>
        </w:rPr>
        <w:t>本年项目支出</w:t>
      </w:r>
      <w:r>
        <w:rPr>
          <w:rFonts w:ascii="times_new_roman" w:hAnsi="times_new_roman" w:eastAsia="times_new_roman" w:cs="times_new_roman"/>
          <w:color w:val="000000"/>
          <w:kern w:val="0"/>
          <w:sz w:val="27"/>
          <w:szCs w:val="27"/>
          <w:highlight w:val="none"/>
          <w:u w:val="none" w:color="auto"/>
        </w:rPr>
        <w:t>907.40</w:t>
      </w:r>
      <w:r>
        <w:rPr>
          <w:rFonts w:ascii="仿宋_GB2312" w:hAnsi="仿宋_GB2312" w:eastAsia="仿宋_GB2312" w:cs="仿宋_GB2312"/>
          <w:color w:val="000000"/>
          <w:kern w:val="0"/>
          <w:sz w:val="27"/>
          <w:szCs w:val="27"/>
          <w:highlight w:val="none"/>
          <w:u w:val="none" w:color="auto"/>
        </w:rPr>
        <w:t>万元，占</w:t>
      </w:r>
      <w:r>
        <w:rPr>
          <w:rFonts w:ascii="times_new_roman" w:hAnsi="times_new_roman" w:eastAsia="times_new_roman" w:cs="times_new_roman"/>
          <w:color w:val="000000"/>
          <w:kern w:val="0"/>
          <w:sz w:val="27"/>
          <w:szCs w:val="27"/>
          <w:highlight w:val="none"/>
          <w:u w:val="none" w:color="auto"/>
        </w:rPr>
        <w:t>63.51</w:t>
      </w:r>
      <w:r>
        <w:rPr>
          <w:rFonts w:ascii="仿宋_GB2312" w:hAnsi="仿宋_GB2312" w:eastAsia="仿宋_GB2312" w:cs="仿宋_GB2312"/>
          <w:color w:val="000000"/>
          <w:kern w:val="0"/>
          <w:sz w:val="27"/>
          <w:szCs w:val="27"/>
          <w:highlight w:val="none"/>
          <w:u w:val="none" w:color="auto"/>
        </w:rPr>
        <w:t>%；</w:t>
      </w:r>
    </w:p>
    <w:p w14:paraId="1A82C028">
      <w:pPr>
        <w:keepNext w:val="0"/>
        <w:keepLines w:val="0"/>
        <w:pageBreakBefore w:val="0"/>
        <w:widowControl/>
        <w:kinsoku/>
        <w:wordWrap/>
        <w:overflowPunct/>
        <w:topLinePunct w:val="0"/>
        <w:autoSpaceDE/>
        <w:autoSpaceDN/>
        <w:bidi w:val="0"/>
        <w:adjustRightInd/>
        <w:snapToGrid/>
        <w:ind w:firstLine="540" w:firstLineChars="200"/>
        <w:textAlignment w:val="auto"/>
        <w:rPr>
          <w:rFonts w:eastAsia="Times New Roman"/>
          <w:kern w:val="0"/>
          <w:sz w:val="27"/>
          <w:szCs w:val="27"/>
          <w:highlight w:val="none"/>
          <w:u w:val="none" w:color="auto"/>
        </w:rPr>
      </w:pPr>
      <w:r>
        <w:rPr>
          <w:rFonts w:ascii="仿宋_GB2312" w:hAnsi="仿宋_GB2312" w:eastAsia="仿宋_GB2312" w:cs="仿宋_GB2312"/>
          <w:color w:val="000000"/>
          <w:kern w:val="0"/>
          <w:sz w:val="27"/>
          <w:szCs w:val="27"/>
          <w:highlight w:val="none"/>
          <w:u w:val="none" w:color="auto"/>
        </w:rPr>
        <w:t>本年上缴上级支出</w:t>
      </w:r>
      <w:r>
        <w:rPr>
          <w:rFonts w:ascii="times_new_roman" w:hAnsi="times_new_roman" w:eastAsia="times_new_roman" w:cs="times_new_roman"/>
          <w:color w:val="000000"/>
          <w:kern w:val="0"/>
          <w:sz w:val="27"/>
          <w:szCs w:val="27"/>
          <w:highlight w:val="none"/>
          <w:u w:val="none" w:color="auto"/>
        </w:rPr>
        <w:t>0</w:t>
      </w:r>
      <w:r>
        <w:rPr>
          <w:rFonts w:ascii="仿宋_GB2312" w:hAnsi="仿宋_GB2312" w:eastAsia="仿宋_GB2312" w:cs="仿宋_GB2312"/>
          <w:color w:val="000000"/>
          <w:kern w:val="0"/>
          <w:sz w:val="27"/>
          <w:szCs w:val="27"/>
          <w:highlight w:val="none"/>
          <w:u w:val="none" w:color="auto"/>
        </w:rPr>
        <w:t>万元，占</w:t>
      </w:r>
      <w:r>
        <w:rPr>
          <w:rFonts w:ascii="times_new_roman" w:hAnsi="times_new_roman" w:eastAsia="times_new_roman" w:cs="times_new_roman"/>
          <w:color w:val="000000"/>
          <w:kern w:val="0"/>
          <w:sz w:val="27"/>
          <w:szCs w:val="27"/>
          <w:highlight w:val="none"/>
          <w:u w:val="none" w:color="auto"/>
        </w:rPr>
        <w:t>0</w:t>
      </w:r>
      <w:r>
        <w:rPr>
          <w:rFonts w:ascii="仿宋_GB2312" w:hAnsi="仿宋_GB2312" w:eastAsia="仿宋_GB2312" w:cs="仿宋_GB2312"/>
          <w:color w:val="000000"/>
          <w:kern w:val="0"/>
          <w:sz w:val="27"/>
          <w:szCs w:val="27"/>
          <w:highlight w:val="none"/>
          <w:u w:val="none" w:color="auto"/>
        </w:rPr>
        <w:t>%；</w:t>
      </w:r>
    </w:p>
    <w:p w14:paraId="4BCF7CED">
      <w:pPr>
        <w:keepNext w:val="0"/>
        <w:keepLines w:val="0"/>
        <w:pageBreakBefore w:val="0"/>
        <w:widowControl/>
        <w:kinsoku/>
        <w:wordWrap/>
        <w:overflowPunct/>
        <w:topLinePunct w:val="0"/>
        <w:autoSpaceDE/>
        <w:autoSpaceDN/>
        <w:bidi w:val="0"/>
        <w:adjustRightInd/>
        <w:snapToGrid/>
        <w:ind w:firstLine="540" w:firstLineChars="200"/>
        <w:textAlignment w:val="auto"/>
        <w:rPr>
          <w:rFonts w:eastAsia="Times New Roman"/>
          <w:kern w:val="0"/>
          <w:sz w:val="27"/>
          <w:szCs w:val="27"/>
          <w:highlight w:val="none"/>
          <w:u w:val="none" w:color="auto"/>
        </w:rPr>
      </w:pPr>
      <w:r>
        <w:rPr>
          <w:rFonts w:ascii="仿宋_GB2312" w:hAnsi="仿宋_GB2312" w:eastAsia="仿宋_GB2312" w:cs="仿宋_GB2312"/>
          <w:color w:val="000000"/>
          <w:kern w:val="0"/>
          <w:sz w:val="27"/>
          <w:szCs w:val="27"/>
          <w:highlight w:val="none"/>
          <w:u w:val="none" w:color="auto"/>
        </w:rPr>
        <w:t>本年经营支出</w:t>
      </w:r>
      <w:r>
        <w:rPr>
          <w:rFonts w:ascii="times_new_roman" w:hAnsi="times_new_roman" w:eastAsia="times_new_roman" w:cs="times_new_roman"/>
          <w:color w:val="000000"/>
          <w:kern w:val="0"/>
          <w:sz w:val="27"/>
          <w:szCs w:val="27"/>
          <w:highlight w:val="none"/>
          <w:u w:val="none" w:color="auto"/>
        </w:rPr>
        <w:t>0</w:t>
      </w:r>
      <w:r>
        <w:rPr>
          <w:rFonts w:ascii="仿宋_GB2312" w:hAnsi="仿宋_GB2312" w:eastAsia="仿宋_GB2312" w:cs="仿宋_GB2312"/>
          <w:color w:val="000000"/>
          <w:kern w:val="0"/>
          <w:sz w:val="27"/>
          <w:szCs w:val="27"/>
          <w:highlight w:val="none"/>
          <w:u w:val="none" w:color="auto"/>
        </w:rPr>
        <w:t>万元，占</w:t>
      </w:r>
      <w:r>
        <w:rPr>
          <w:rFonts w:ascii="times_new_roman" w:hAnsi="times_new_roman" w:eastAsia="times_new_roman" w:cs="times_new_roman"/>
          <w:color w:val="000000"/>
          <w:kern w:val="0"/>
          <w:sz w:val="27"/>
          <w:szCs w:val="27"/>
          <w:highlight w:val="none"/>
          <w:u w:val="none" w:color="auto"/>
        </w:rPr>
        <w:t>0</w:t>
      </w:r>
      <w:r>
        <w:rPr>
          <w:rFonts w:ascii="仿宋_GB2312" w:hAnsi="仿宋_GB2312" w:eastAsia="仿宋_GB2312" w:cs="仿宋_GB2312"/>
          <w:color w:val="000000"/>
          <w:kern w:val="0"/>
          <w:sz w:val="27"/>
          <w:szCs w:val="27"/>
          <w:highlight w:val="none"/>
          <w:u w:val="none" w:color="auto"/>
        </w:rPr>
        <w:t>%；</w:t>
      </w:r>
    </w:p>
    <w:p w14:paraId="7D401BD3">
      <w:pPr>
        <w:keepNext w:val="0"/>
        <w:keepLines w:val="0"/>
        <w:pageBreakBefore w:val="0"/>
        <w:widowControl/>
        <w:kinsoku/>
        <w:wordWrap/>
        <w:overflowPunct/>
        <w:topLinePunct w:val="0"/>
        <w:autoSpaceDE/>
        <w:autoSpaceDN/>
        <w:bidi w:val="0"/>
        <w:adjustRightInd/>
        <w:snapToGrid/>
        <w:ind w:firstLine="540" w:firstLineChars="200"/>
        <w:textAlignment w:val="auto"/>
        <w:rPr>
          <w:rFonts w:eastAsia="Times New Roman"/>
          <w:kern w:val="0"/>
          <w:sz w:val="27"/>
          <w:szCs w:val="27"/>
          <w:highlight w:val="none"/>
          <w:u w:val="none" w:color="auto"/>
        </w:rPr>
      </w:pPr>
      <w:r>
        <w:rPr>
          <w:rFonts w:ascii="仿宋_GB2312" w:hAnsi="仿宋_GB2312" w:eastAsia="仿宋_GB2312" w:cs="仿宋_GB2312"/>
          <w:color w:val="000000"/>
          <w:kern w:val="0"/>
          <w:sz w:val="27"/>
          <w:szCs w:val="27"/>
          <w:highlight w:val="none"/>
          <w:u w:val="none" w:color="auto"/>
        </w:rPr>
        <w:t>本年对附属单位补助支出</w:t>
      </w:r>
      <w:r>
        <w:rPr>
          <w:rFonts w:ascii="times_new_roman" w:hAnsi="times_new_roman" w:eastAsia="times_new_roman" w:cs="times_new_roman"/>
          <w:color w:val="000000"/>
          <w:kern w:val="0"/>
          <w:sz w:val="27"/>
          <w:szCs w:val="27"/>
          <w:highlight w:val="none"/>
          <w:u w:val="none" w:color="auto"/>
        </w:rPr>
        <w:t>0</w:t>
      </w:r>
      <w:r>
        <w:rPr>
          <w:rFonts w:ascii="仿宋_GB2312" w:hAnsi="仿宋_GB2312" w:eastAsia="仿宋_GB2312" w:cs="仿宋_GB2312"/>
          <w:color w:val="000000"/>
          <w:kern w:val="0"/>
          <w:sz w:val="27"/>
          <w:szCs w:val="27"/>
          <w:highlight w:val="none"/>
          <w:u w:val="none" w:color="auto"/>
        </w:rPr>
        <w:t>万元，占</w:t>
      </w:r>
      <w:r>
        <w:rPr>
          <w:rFonts w:ascii="times_new_roman" w:hAnsi="times_new_roman" w:eastAsia="times_new_roman" w:cs="times_new_roman"/>
          <w:color w:val="000000"/>
          <w:kern w:val="0"/>
          <w:sz w:val="27"/>
          <w:szCs w:val="27"/>
          <w:highlight w:val="none"/>
          <w:u w:val="none" w:color="auto"/>
        </w:rPr>
        <w:t>0</w:t>
      </w:r>
      <w:r>
        <w:rPr>
          <w:rFonts w:ascii="仿宋_GB2312" w:hAnsi="仿宋_GB2312" w:eastAsia="仿宋_GB2312" w:cs="仿宋_GB2312"/>
          <w:color w:val="000000"/>
          <w:kern w:val="0"/>
          <w:sz w:val="27"/>
          <w:szCs w:val="27"/>
          <w:highlight w:val="none"/>
          <w:u w:val="none" w:color="auto"/>
        </w:rPr>
        <w:t>%。</w:t>
      </w:r>
    </w:p>
    <w:p w14:paraId="72715C98">
      <w:pPr>
        <w:widowControl/>
        <w:spacing w:before="240" w:after="240"/>
        <w:rPr>
          <w:rFonts w:eastAsia="Times New Roman"/>
          <w:kern w:val="0"/>
          <w:sz w:val="24"/>
          <w:highlight w:val="none"/>
        </w:rPr>
      </w:pPr>
    </w:p>
    <w:p w14:paraId="0C7160D3">
      <w:pPr>
        <w:widowControl/>
        <w:spacing w:before="240" w:after="240"/>
        <w:jc w:val="center"/>
        <w:rPr>
          <w:rFonts w:hint="eastAsia" w:eastAsia="宋体"/>
          <w:kern w:val="0"/>
          <w:sz w:val="24"/>
          <w:highlight w:val="none"/>
          <w:lang w:eastAsia="zh-CN"/>
        </w:rPr>
      </w:pPr>
      <w:r>
        <w:rPr>
          <w:rFonts w:eastAsia="Times New Roman"/>
          <w:kern w:val="0"/>
          <w:sz w:val="24"/>
          <w:highlight w:val="none"/>
        </w:rPr>
        <w:drawing>
          <wp:inline distT="0" distB="0" distL="114300" distR="114300">
            <wp:extent cx="6832600" cy="4272280"/>
            <wp:effectExtent l="0" t="0" r="635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832600" cy="4272280"/>
                    </a:xfrm>
                    <a:prstGeom prst="rect">
                      <a:avLst/>
                    </a:prstGeom>
                    <a:noFill/>
                    <a:ln>
                      <a:noFill/>
                    </a:ln>
                  </pic:spPr>
                </pic:pic>
              </a:graphicData>
            </a:graphic>
          </wp:inline>
        </w:drawing>
      </w:r>
      <w:r>
        <w:rPr>
          <w:rFonts w:eastAsia="Times New Roman"/>
          <w:kern w:val="0"/>
          <w:sz w:val="24"/>
          <w:highlight w:val="none"/>
        </w:rPr>
        <w:t xml:space="preserve"> </w:t>
      </w:r>
    </w:p>
    <w:p w14:paraId="1C56D709">
      <w:pPr>
        <w:widowControl/>
        <w:spacing w:before="240" w:after="240"/>
        <w:jc w:val="center"/>
        <w:rPr>
          <w:rFonts w:eastAsia="Times New Roman"/>
          <w:kern w:val="0"/>
          <w:sz w:val="24"/>
          <w:highlight w:val="none"/>
        </w:rPr>
      </w:pPr>
      <w:r>
        <w:rPr>
          <w:rFonts w:ascii="仿宋_GB2312" w:hAnsi="仿宋_GB2312" w:eastAsia="仿宋_GB2312" w:cs="仿宋_GB2312"/>
          <w:kern w:val="0"/>
          <w:sz w:val="27"/>
          <w:szCs w:val="27"/>
          <w:highlight w:val="none"/>
        </w:rPr>
        <w:t>图2.支出决算图</w:t>
      </w:r>
    </w:p>
    <w:p w14:paraId="16DAC566">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b/>
          <w:bCs/>
          <w:kern w:val="0"/>
          <w:sz w:val="27"/>
          <w:szCs w:val="27"/>
          <w:highlight w:val="none"/>
        </w:rPr>
      </w:pPr>
    </w:p>
    <w:p w14:paraId="52BC1EBB">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四、财政拨款收入支出决算总体情况说明</w:t>
      </w:r>
    </w:p>
    <w:p w14:paraId="6CACE5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内蒙古自治区包头市城市基础设施运行监控技术中心2024年度财政拨款收入、支出决算总计均为522.50万元，与年初预算相比，收、支总计各减少13.94万元，下降2.60%，变动原因：</w:t>
      </w:r>
      <w:r>
        <w:rPr>
          <w:rFonts w:hint="eastAsia" w:ascii="仿宋_GB2312" w:hAnsi="仿宋_GB2312" w:eastAsia="仿宋_GB2312" w:cs="仿宋_GB2312"/>
          <w:kern w:val="0"/>
          <w:sz w:val="27"/>
          <w:szCs w:val="27"/>
          <w:highlight w:val="none"/>
          <w:u w:val="none" w:color="auto"/>
        </w:rPr>
        <w:t>本年年末人员经费中艰苦边远地区津贴取消</w:t>
      </w:r>
      <w:r>
        <w:rPr>
          <w:rFonts w:hint="eastAsia" w:ascii="仿宋_GB2312" w:hAnsi="仿宋_GB2312" w:eastAsia="仿宋_GB2312" w:cs="仿宋_GB2312"/>
          <w:color w:val="000000"/>
          <w:kern w:val="0"/>
          <w:sz w:val="27"/>
          <w:szCs w:val="27"/>
          <w:highlight w:val="none"/>
          <w:u w:val="none" w:color="auto"/>
        </w:rPr>
        <w:t>；与上年决算相比，收、支总计各增加58.58万元，增长12.63%，变动原因：</w:t>
      </w:r>
      <w:r>
        <w:rPr>
          <w:rFonts w:hint="eastAsia" w:ascii="仿宋_GB2312" w:hAnsi="仿宋_GB2312" w:eastAsia="仿宋_GB2312" w:cs="仿宋_GB2312"/>
          <w:kern w:val="0"/>
          <w:sz w:val="27"/>
          <w:szCs w:val="27"/>
          <w:highlight w:val="none"/>
          <w:u w:val="none" w:color="auto"/>
        </w:rPr>
        <w:t>本年新招录2人，其人员与公用经费增加，同时本年度在职人员工资基数调增。</w:t>
      </w:r>
    </w:p>
    <w:p w14:paraId="095F9A78">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p>
    <w:p w14:paraId="5AE9E80A">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p>
    <w:p w14:paraId="6E3F77D4">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五、一般公共预算财政拨款支出决算情况说明</w:t>
      </w:r>
    </w:p>
    <w:p w14:paraId="681904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内蒙古自治区包头市城市基础设施运行监控技术中心2024年度一般公共预算财政拨款支出决算521.07万元。与年初预算 536.44万元相比，完成年初预算的 97.13%。其中：</w:t>
      </w:r>
    </w:p>
    <w:p w14:paraId="516499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（一）社会保障和就业支出（类）</w:t>
      </w:r>
    </w:p>
    <w:p w14:paraId="6BB1396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rPr>
        <w:t>社会保障和就业支出类决算数为50.14万元，与年初预算相比减少2.48万元。其中：</w:t>
      </w:r>
    </w:p>
    <w:p w14:paraId="591477F1">
      <w:pPr>
        <w:keepNext w:val="0"/>
        <w:keepLines w:val="0"/>
        <w:pageBreakBefore w:val="0"/>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lang w:eastAsia="zh-CN"/>
        </w:rPr>
        <w:t>1.</w:t>
      </w:r>
      <w:r>
        <w:rPr>
          <w:rFonts w:hint="eastAsia" w:ascii="仿宋_GB2312" w:hAnsi="仿宋_GB2312" w:eastAsia="仿宋_GB2312" w:cs="仿宋_GB2312"/>
          <w:kern w:val="0"/>
          <w:sz w:val="27"/>
          <w:szCs w:val="27"/>
          <w:highlight w:val="none"/>
          <w:u w:val="none" w:color="auto"/>
        </w:rPr>
        <w:t>行政事业单位养老支出（款）事业单位离退休（项）。年初预算3.04万元，支出决算3.63万元，完成年初预算的119.41%。决算数与年初预算数的差异原因：本年新增退休人员，年初无预算。</w:t>
      </w:r>
    </w:p>
    <w:p w14:paraId="648A3B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lang w:eastAsia="zh-CN"/>
        </w:rPr>
        <w:t>2.</w:t>
      </w:r>
      <w:r>
        <w:rPr>
          <w:rFonts w:hint="eastAsia" w:ascii="仿宋_GB2312" w:hAnsi="仿宋_GB2312" w:eastAsia="仿宋_GB2312" w:cs="仿宋_GB2312"/>
          <w:kern w:val="0"/>
          <w:sz w:val="27"/>
          <w:szCs w:val="27"/>
          <w:highlight w:val="none"/>
          <w:u w:val="none" w:color="auto"/>
        </w:rPr>
        <w:t>行政事业单位养老支出（款）机关事业单位基本养老保险缴费支出（项）。年初预算49.58万元，支出决算46.51万元，完成年初预算的93.81%。决算数与年初预算数的差异原因：本年新增退休人员养老保险支出减少。</w:t>
      </w:r>
    </w:p>
    <w:p w14:paraId="64E848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（二）卫生健康支出（类）</w:t>
      </w:r>
    </w:p>
    <w:p w14:paraId="17B617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rPr>
        <w:t>卫生健康支出类决算数为21.77万元，与年初预算相比增加1.55万元。其中：</w:t>
      </w:r>
    </w:p>
    <w:p w14:paraId="04C7623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lang w:eastAsia="zh-CN"/>
        </w:rPr>
        <w:t>1.</w:t>
      </w:r>
      <w:r>
        <w:rPr>
          <w:rFonts w:hint="eastAsia" w:ascii="仿宋_GB2312" w:hAnsi="仿宋_GB2312" w:eastAsia="仿宋_GB2312" w:cs="仿宋_GB2312"/>
          <w:kern w:val="0"/>
          <w:sz w:val="27"/>
          <w:szCs w:val="27"/>
          <w:highlight w:val="none"/>
          <w:u w:val="none" w:color="auto"/>
        </w:rPr>
        <w:t>行政事业单位医疗（款）事业单位医疗（项）。年初预算20.22万元，支出决算21.77万元，完成年初预算的107.67%。决算数与年初预算数的差异原因：本年新招录2人，医疗保险支出增加。</w:t>
      </w:r>
    </w:p>
    <w:p w14:paraId="094503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（三）住房保障支出（类）</w:t>
      </w:r>
    </w:p>
    <w:p w14:paraId="281730E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rPr>
        <w:t>住房保障支出类决算数为36.31万元，与年初预算相比减少2.45万元。其中：</w:t>
      </w:r>
    </w:p>
    <w:p w14:paraId="2A3E827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kern w:val="0"/>
          <w:sz w:val="27"/>
          <w:szCs w:val="27"/>
          <w:highlight w:val="none"/>
          <w:u w:val="none" w:color="auto"/>
          <w:lang w:eastAsia="zh-CN"/>
        </w:rPr>
        <w:t>1.</w:t>
      </w:r>
      <w:r>
        <w:rPr>
          <w:rFonts w:hint="eastAsia" w:ascii="仿宋_GB2312" w:hAnsi="仿宋_GB2312" w:eastAsia="仿宋_GB2312" w:cs="仿宋_GB2312"/>
          <w:kern w:val="0"/>
          <w:sz w:val="27"/>
          <w:szCs w:val="27"/>
          <w:highlight w:val="none"/>
          <w:u w:val="none" w:color="auto"/>
        </w:rPr>
        <w:t>住房改革支出（款）住房公积金（项）。年初预算38.76万元，支出决算36.31万元，完成年初预算的93.68%。决算数与年初预算数的差异原因：本年新增退休人员住房公积金支出减少。</w:t>
      </w:r>
    </w:p>
    <w:p w14:paraId="0C835014">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六、一般公共预算财政拨款基本支出决算情况说明</w:t>
      </w:r>
    </w:p>
    <w:p w14:paraId="2A747F4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内蒙古自治区包头市城市基础设施运行监控技术中心2024年度一般公共预算财政拨款基本支出决算521.07万元，其中：</w:t>
      </w:r>
    </w:p>
    <w:p w14:paraId="1DAD0D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color w:val="000000"/>
          <w:kern w:val="0"/>
          <w:sz w:val="27"/>
          <w:szCs w:val="27"/>
          <w:highlight w:val="none"/>
          <w:u w:val="none" w:color="auto"/>
        </w:rPr>
        <w:t>（一）人员经费488.78万元。</w:t>
      </w:r>
      <w:r>
        <w:rPr>
          <w:rFonts w:hint="eastAsia" w:ascii="仿宋_GB2312" w:hAnsi="仿宋_GB2312" w:eastAsia="仿宋_GB2312" w:cs="仿宋_GB2312"/>
          <w:color w:val="000000"/>
          <w:kern w:val="0"/>
          <w:sz w:val="27"/>
          <w:szCs w:val="27"/>
          <w:highlight w:val="none"/>
          <w:u w:val="none" w:color="auto"/>
        </w:rPr>
        <w:t>主要包括：</w:t>
      </w:r>
      <w:r>
        <w:rPr>
          <w:rFonts w:hint="eastAsia" w:ascii="仿宋_GB2312" w:hAnsi="仿宋_GB2312" w:eastAsia="仿宋_GB2312" w:cs="仿宋_GB2312"/>
          <w:kern w:val="0"/>
          <w:sz w:val="27"/>
          <w:szCs w:val="27"/>
          <w:highlight w:val="none"/>
          <w:u w:val="none" w:color="auto"/>
        </w:rPr>
        <w:t>基本工资147.38万元、津贴补贴33.72万元、绩效工资192.08万元、机关事业单位基本养老保险缴费46.51万元、职工基本医疗保险缴费21.77万元、其他社会保障缴费7.38万元、住房公积金36.31万元、退休费3.63万元。</w:t>
      </w:r>
    </w:p>
    <w:p w14:paraId="4FBD6DA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color w:val="000000"/>
          <w:kern w:val="0"/>
          <w:sz w:val="27"/>
          <w:szCs w:val="27"/>
          <w:highlight w:val="none"/>
          <w:u w:val="none" w:color="auto"/>
        </w:rPr>
        <w:t>（二）公用经费32.29万元。</w:t>
      </w:r>
      <w:r>
        <w:rPr>
          <w:rFonts w:hint="eastAsia" w:ascii="仿宋_GB2312" w:hAnsi="仿宋_GB2312" w:eastAsia="仿宋_GB2312" w:cs="仿宋_GB2312"/>
          <w:color w:val="000000"/>
          <w:kern w:val="0"/>
          <w:sz w:val="27"/>
          <w:szCs w:val="27"/>
          <w:highlight w:val="none"/>
          <w:u w:val="none" w:color="auto"/>
        </w:rPr>
        <w:t>主要包括：</w:t>
      </w:r>
      <w:r>
        <w:rPr>
          <w:rFonts w:hint="eastAsia" w:ascii="仿宋_GB2312" w:hAnsi="仿宋_GB2312" w:eastAsia="仿宋_GB2312" w:cs="仿宋_GB2312"/>
          <w:kern w:val="0"/>
          <w:sz w:val="27"/>
          <w:szCs w:val="27"/>
          <w:highlight w:val="none"/>
          <w:u w:val="none" w:color="auto"/>
        </w:rPr>
        <w:t>办公费8.51万元、邮电费0.32万、物业管理费0.90万元、维修（护）费2.09万元、差旅费1.19万元、培训费0.30万元、工会经费6.20万元、福利费8.98万元、公务用车运行维护费2.30万元、其他商品和服务支出0.09万元、办公设备购置1.4</w:t>
      </w:r>
      <w:r>
        <w:rPr>
          <w:rFonts w:hint="eastAsia" w:ascii="仿宋_GB2312" w:hAnsi="仿宋_GB2312" w:eastAsia="仿宋_GB2312" w:cs="仿宋_GB2312"/>
          <w:kern w:val="0"/>
          <w:sz w:val="27"/>
          <w:szCs w:val="27"/>
          <w:highlight w:val="none"/>
          <w:u w:val="none" w:color="auto"/>
          <w:lang w:val="en-US" w:eastAsia="zh-CN"/>
        </w:rPr>
        <w:t>2</w:t>
      </w:r>
      <w:r>
        <w:rPr>
          <w:rFonts w:hint="eastAsia" w:ascii="仿宋_GB2312" w:hAnsi="仿宋_GB2312" w:eastAsia="仿宋_GB2312" w:cs="仿宋_GB2312"/>
          <w:kern w:val="0"/>
          <w:sz w:val="27"/>
          <w:szCs w:val="27"/>
          <w:highlight w:val="none"/>
          <w:u w:val="none" w:color="auto"/>
        </w:rPr>
        <w:t>万元。</w:t>
      </w:r>
    </w:p>
    <w:p w14:paraId="4C1C45B0">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七、一般公共预算财政拨款项目支出决算情况说明</w:t>
      </w:r>
    </w:p>
    <w:p w14:paraId="36AB29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color w:val="000000"/>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内蒙古自治区包头市城市基础设施运行监控技术中心2024年度一般公共预算财政拨款项目支出决算0万元。</w:t>
      </w:r>
    </w:p>
    <w:p w14:paraId="3F7538A5">
      <w:pPr>
        <w:keepNext w:val="0"/>
        <w:keepLines w:val="0"/>
        <w:pageBreakBefore w:val="0"/>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color w:val="000000"/>
          <w:kern w:val="0"/>
          <w:sz w:val="27"/>
          <w:szCs w:val="27"/>
          <w:highlight w:val="none"/>
          <w:u w:val="none" w:color="auto"/>
        </w:rPr>
      </w:pPr>
      <w:r>
        <w:rPr>
          <w:rFonts w:hint="eastAsia" w:ascii="仿宋_GB2312" w:hAnsi="仿宋_GB2312" w:eastAsia="仿宋_GB2312" w:cs="仿宋_GB2312"/>
          <w:b/>
          <w:color w:val="000000"/>
          <w:kern w:val="0"/>
          <w:sz w:val="27"/>
          <w:szCs w:val="27"/>
          <w:highlight w:val="none"/>
          <w:u w:val="none" w:color="auto"/>
        </w:rPr>
        <w:t>（一）工资福利支出</w:t>
      </w:r>
      <w:r>
        <w:rPr>
          <w:rFonts w:hint="eastAsia" w:ascii="仿宋_GB2312" w:hAnsi="仿宋_GB2312" w:eastAsia="仿宋_GB2312" w:cs="仿宋_GB2312"/>
          <w:b/>
          <w:color w:val="000000"/>
          <w:kern w:val="0"/>
          <w:sz w:val="27"/>
          <w:szCs w:val="27"/>
          <w:highlight w:val="none"/>
          <w:u w:val="none" w:color="auto"/>
          <w:lang w:val="en-US" w:eastAsia="zh-CN"/>
        </w:rPr>
        <w:t>0</w:t>
      </w:r>
      <w:r>
        <w:rPr>
          <w:rFonts w:hint="eastAsia" w:ascii="仿宋_GB2312" w:hAnsi="仿宋_GB2312" w:eastAsia="仿宋_GB2312" w:cs="仿宋_GB2312"/>
          <w:b/>
          <w:color w:val="000000"/>
          <w:kern w:val="0"/>
          <w:sz w:val="27"/>
          <w:szCs w:val="27"/>
          <w:highlight w:val="none"/>
          <w:u w:val="none" w:color="auto"/>
        </w:rPr>
        <w:t>万元</w:t>
      </w:r>
      <w:r>
        <w:rPr>
          <w:rFonts w:hint="eastAsia" w:ascii="仿宋_GB2312" w:hAnsi="仿宋_GB2312" w:eastAsia="仿宋_GB2312" w:cs="仿宋_GB2312"/>
          <w:color w:val="000000"/>
          <w:kern w:val="0"/>
          <w:sz w:val="27"/>
          <w:szCs w:val="27"/>
          <w:highlight w:val="none"/>
          <w:u w:val="none" w:color="auto"/>
        </w:rPr>
        <w:t>。</w:t>
      </w:r>
    </w:p>
    <w:p w14:paraId="40A5BCF2">
      <w:pPr>
        <w:keepNext w:val="0"/>
        <w:keepLines w:val="0"/>
        <w:pageBreakBefore w:val="0"/>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color w:val="000000"/>
          <w:kern w:val="0"/>
          <w:sz w:val="27"/>
          <w:szCs w:val="27"/>
          <w:highlight w:val="none"/>
          <w:u w:val="none" w:color="auto"/>
        </w:rPr>
      </w:pPr>
      <w:r>
        <w:rPr>
          <w:rFonts w:hint="eastAsia" w:ascii="仿宋_GB2312" w:hAnsi="仿宋_GB2312" w:eastAsia="仿宋_GB2312" w:cs="仿宋_GB2312"/>
          <w:b/>
          <w:color w:val="000000"/>
          <w:kern w:val="0"/>
          <w:sz w:val="27"/>
          <w:szCs w:val="27"/>
          <w:highlight w:val="none"/>
          <w:u w:val="none" w:color="auto"/>
        </w:rPr>
        <w:t>（二）商品和服务支出</w:t>
      </w:r>
      <w:r>
        <w:rPr>
          <w:rFonts w:hint="eastAsia" w:ascii="仿宋_GB2312" w:hAnsi="仿宋_GB2312" w:eastAsia="仿宋_GB2312" w:cs="仿宋_GB2312"/>
          <w:b/>
          <w:color w:val="000000"/>
          <w:kern w:val="0"/>
          <w:sz w:val="27"/>
          <w:szCs w:val="27"/>
          <w:highlight w:val="none"/>
          <w:u w:val="none" w:color="auto"/>
          <w:lang w:val="en-US" w:eastAsia="zh-CN"/>
        </w:rPr>
        <w:t>0</w:t>
      </w:r>
      <w:r>
        <w:rPr>
          <w:rFonts w:hint="eastAsia" w:ascii="仿宋_GB2312" w:hAnsi="仿宋_GB2312" w:eastAsia="仿宋_GB2312" w:cs="仿宋_GB2312"/>
          <w:b/>
          <w:color w:val="000000"/>
          <w:kern w:val="0"/>
          <w:sz w:val="27"/>
          <w:szCs w:val="27"/>
          <w:highlight w:val="none"/>
          <w:u w:val="none" w:color="auto"/>
        </w:rPr>
        <w:t>万元</w:t>
      </w:r>
      <w:r>
        <w:rPr>
          <w:rFonts w:hint="eastAsia" w:ascii="仿宋_GB2312" w:hAnsi="仿宋_GB2312" w:eastAsia="仿宋_GB2312" w:cs="仿宋_GB2312"/>
          <w:color w:val="000000"/>
          <w:kern w:val="0"/>
          <w:sz w:val="27"/>
          <w:szCs w:val="27"/>
          <w:highlight w:val="none"/>
          <w:u w:val="none" w:color="auto"/>
        </w:rPr>
        <w:t>。</w:t>
      </w:r>
    </w:p>
    <w:p w14:paraId="6C5E1F4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color w:val="000000"/>
          <w:kern w:val="0"/>
          <w:sz w:val="27"/>
          <w:szCs w:val="27"/>
          <w:highlight w:val="none"/>
          <w:u w:val="none" w:color="auto"/>
        </w:rPr>
      </w:pPr>
      <w:r>
        <w:rPr>
          <w:rFonts w:hint="eastAsia" w:ascii="仿宋_GB2312" w:hAnsi="仿宋_GB2312" w:eastAsia="仿宋_GB2312" w:cs="仿宋_GB2312"/>
          <w:b/>
          <w:kern w:val="0"/>
          <w:sz w:val="27"/>
          <w:szCs w:val="27"/>
          <w:highlight w:val="none"/>
          <w:u w:val="none" w:color="auto"/>
        </w:rPr>
        <w:t>（三）资本性支出</w:t>
      </w:r>
      <w:r>
        <w:rPr>
          <w:rFonts w:hint="eastAsia" w:ascii="仿宋_GB2312" w:hAnsi="仿宋_GB2312" w:eastAsia="仿宋_GB2312" w:cs="仿宋_GB2312"/>
          <w:b/>
          <w:kern w:val="0"/>
          <w:sz w:val="27"/>
          <w:szCs w:val="27"/>
          <w:highlight w:val="none"/>
          <w:u w:val="none" w:color="auto"/>
          <w:lang w:val="en-US" w:eastAsia="zh-CN"/>
        </w:rPr>
        <w:t>0</w:t>
      </w:r>
      <w:r>
        <w:rPr>
          <w:rFonts w:hint="eastAsia" w:ascii="仿宋_GB2312" w:hAnsi="仿宋_GB2312" w:eastAsia="仿宋_GB2312" w:cs="仿宋_GB2312"/>
          <w:b/>
          <w:kern w:val="0"/>
          <w:sz w:val="27"/>
          <w:szCs w:val="27"/>
          <w:highlight w:val="none"/>
          <w:u w:val="none" w:color="auto"/>
        </w:rPr>
        <w:t>万元</w:t>
      </w:r>
      <w:r>
        <w:rPr>
          <w:rFonts w:hint="eastAsia" w:ascii="仿宋_GB2312" w:hAnsi="仿宋_GB2312" w:eastAsia="仿宋_GB2312" w:cs="仿宋_GB2312"/>
          <w:kern w:val="0"/>
          <w:sz w:val="27"/>
          <w:szCs w:val="27"/>
          <w:highlight w:val="none"/>
          <w:u w:val="none" w:color="auto"/>
        </w:rPr>
        <w:t>。</w:t>
      </w:r>
    </w:p>
    <w:p w14:paraId="3809BD30">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八、财政拨款“三公”经费支出决算情况说明</w:t>
      </w:r>
    </w:p>
    <w:p w14:paraId="36B9AB7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（一）财政拨款“三公”经费支出总体情况说明。</w:t>
      </w:r>
    </w:p>
    <w:p w14:paraId="00C30B1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财政拨款“三公”经费全年预算2.50万元，支出决算2.30万元，完成预算的91.83%。其中：因公出国（境）费全年预算0万元，支出决算0万元，完成预算的0%；公务用车购置及运行维护费全年预算2.50万元，支出决算2.30万元，完成预算的91.83%；公务接待费全年预算0万元，支出决算0万元，完成预算的0%。2024年度一般公共预算财政拨款“三公”经费全年预算2.50万元，支出决算2.30万元，与预算差异原因</w:t>
      </w:r>
      <w:r>
        <w:rPr>
          <w:rFonts w:hint="eastAsia" w:ascii="仿宋_GB2312" w:hAnsi="仿宋_GB2312" w:eastAsia="仿宋_GB2312" w:cs="仿宋_GB2312"/>
          <w:kern w:val="0"/>
          <w:sz w:val="27"/>
          <w:szCs w:val="27"/>
          <w:highlight w:val="none"/>
          <w:u w:val="none" w:color="auto"/>
        </w:rPr>
        <w:t>按照实际需要支付费用。</w:t>
      </w:r>
    </w:p>
    <w:p w14:paraId="455734C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（二）财政拨款“三公”经费支出具体情况说明。</w:t>
      </w:r>
    </w:p>
    <w:p w14:paraId="66697A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财政拨款“三公”经费支出2.30万元。因公出国（境）费支出0万元，占0%；公务用车购置及运行维护费支出2.30万元，占100.00%；公务接待费支出0万元，占0%。其中：</w:t>
      </w:r>
    </w:p>
    <w:p w14:paraId="360739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1.因公出国（境）费支出0万元，全年出国（境）团组0个，累计0人次。与上年决算相比，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w:t>
      </w:r>
    </w:p>
    <w:p w14:paraId="54EEB1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2.公务用车购置及运行维护费支出2.30万元。其中：</w:t>
      </w:r>
    </w:p>
    <w:p w14:paraId="209861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（1）公务用车购置支出0万元。本年度使用财政拨款购置公务用车0辆，开支内容：</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。与上年决算相比，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w:t>
      </w:r>
    </w:p>
    <w:p w14:paraId="79F5309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2）公务用车运行维护费支出2.30万元。公务用车运行维护费主要用于按规定保留的公务用车的燃料费、维修费、过桥过路费、保险费、安全奖励费用等支出。截至2024年12月31日，使用财政拨款开支的公务用车保有量为1辆。与上年决算相比，减少0.20万元，下降8.17%，变动原因：</w:t>
      </w:r>
      <w:r>
        <w:rPr>
          <w:rFonts w:hint="eastAsia" w:ascii="仿宋_GB2312" w:hAnsi="仿宋_GB2312" w:eastAsia="仿宋_GB2312" w:cs="仿宋_GB2312"/>
          <w:kern w:val="0"/>
          <w:sz w:val="27"/>
          <w:szCs w:val="27"/>
          <w:highlight w:val="none"/>
          <w:u w:val="none" w:color="auto"/>
        </w:rPr>
        <w:t>按照实际需要支付费用。</w:t>
      </w:r>
    </w:p>
    <w:p w14:paraId="51E7EDA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3.公务接待费支出0万元。其中：国内公务接待支出0万元，接待0批次，0人次，开支内容：</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；国（境）外公务接待支出0万元，接待0批次，0人次，开支内容：</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。与上年决算相比，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不存在此项内容</w:t>
      </w:r>
      <w:r>
        <w:rPr>
          <w:rFonts w:hint="eastAsia" w:ascii="仿宋_GB2312" w:hAnsi="仿宋_GB2312" w:eastAsia="仿宋_GB2312" w:cs="仿宋_GB2312"/>
          <w:color w:val="000000"/>
          <w:kern w:val="0"/>
          <w:sz w:val="27"/>
          <w:szCs w:val="27"/>
          <w:highlight w:val="none"/>
          <w:u w:val="none" w:color="auto"/>
        </w:rPr>
        <w:t>。</w:t>
      </w:r>
    </w:p>
    <w:p w14:paraId="3C565458">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九、政府性基金预算财政拨款支出决算情况说明</w:t>
      </w:r>
    </w:p>
    <w:p w14:paraId="053DE2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内蒙古自治区包头市城市基础设施运行监控技术中心2024年度政府性基金预算财政拨款支出决算0万元。与上年决算相比，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本单位无政府性基金预算财政拨款收、支、余。</w:t>
      </w:r>
    </w:p>
    <w:p w14:paraId="41998BC8">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十、国有资本经营预算财政拨款支出决算情况说明</w:t>
      </w:r>
    </w:p>
    <w:p w14:paraId="52D5A8E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color w:val="0E00FE"/>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内蒙古自治区包头市城市基础设施运行监控技术中心2024年度国有资本经营预算财政拨款支出决算0万元。与上年决算相比，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本单位无国有资本经营预算财政拨款收、支、余。</w:t>
      </w:r>
    </w:p>
    <w:p w14:paraId="1CF8C57D">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十一、机关运行经费（公用经费）支出决算情况说明</w:t>
      </w:r>
    </w:p>
    <w:p w14:paraId="2BD6C86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内蒙古自治区包头市城市基础设施运行监控技术中心2024年度公用经费支出决算32.59万元，与上年决算相比，增加13.07万元，增长66.94%，变动原因：</w:t>
      </w:r>
      <w:r>
        <w:rPr>
          <w:rFonts w:hint="eastAsia" w:ascii="仿宋_GB2312" w:hAnsi="仿宋_GB2312" w:eastAsia="仿宋_GB2312" w:cs="仿宋_GB2312"/>
          <w:kern w:val="0"/>
          <w:sz w:val="27"/>
          <w:szCs w:val="27"/>
          <w:highlight w:val="none"/>
          <w:u w:val="none" w:color="auto"/>
        </w:rPr>
        <w:t>2023年及2024年新招录人员变动大，经费中工会经费和福利费支出大幅增加，办公用品及设备购置增加。</w:t>
      </w:r>
      <w:r>
        <w:rPr>
          <w:rFonts w:hint="eastAsia" w:ascii="仿宋_GB2312" w:hAnsi="仿宋_GB2312" w:eastAsia="仿宋_GB2312" w:cs="仿宋_GB2312"/>
          <w:color w:val="000000"/>
          <w:kern w:val="0"/>
          <w:sz w:val="27"/>
          <w:szCs w:val="27"/>
          <w:highlight w:val="none"/>
          <w:u w:val="none" w:color="auto"/>
        </w:rPr>
        <w:t>其中，机关运行经费支出决算0万元。比上年决算相比，</w:t>
      </w:r>
      <w:r>
        <w:rPr>
          <w:rFonts w:hint="eastAsia" w:ascii="仿宋_GB2312" w:hAnsi="仿宋_GB2312" w:eastAsia="仿宋_GB2312" w:cs="仿宋_GB2312"/>
          <w:color w:val="000000"/>
          <w:kern w:val="0"/>
          <w:sz w:val="27"/>
          <w:szCs w:val="27"/>
          <w:highlight w:val="none"/>
          <w:u w:val="none" w:color="auto"/>
          <w:lang w:eastAsia="zh-CN"/>
        </w:rPr>
        <w:t>增加</w:t>
      </w:r>
      <w:r>
        <w:rPr>
          <w:rFonts w:hint="eastAsia" w:ascii="仿宋_GB2312" w:hAnsi="仿宋_GB2312" w:eastAsia="仿宋_GB2312" w:cs="仿宋_GB2312"/>
          <w:color w:val="000000"/>
          <w:kern w:val="0"/>
          <w:sz w:val="27"/>
          <w:szCs w:val="27"/>
          <w:highlight w:val="none"/>
          <w:u w:val="none" w:color="auto"/>
        </w:rPr>
        <w:t>0万元，</w:t>
      </w:r>
      <w:r>
        <w:rPr>
          <w:rFonts w:hint="eastAsia" w:ascii="仿宋_GB2312" w:hAnsi="仿宋_GB2312" w:eastAsia="仿宋_GB2312" w:cs="仿宋_GB2312"/>
          <w:color w:val="000000"/>
          <w:kern w:val="0"/>
          <w:sz w:val="27"/>
          <w:szCs w:val="27"/>
          <w:highlight w:val="none"/>
          <w:u w:val="none" w:color="auto"/>
          <w:lang w:eastAsia="zh-CN"/>
        </w:rPr>
        <w:t>增长</w:t>
      </w:r>
      <w:r>
        <w:rPr>
          <w:rFonts w:hint="eastAsia" w:ascii="仿宋_GB2312" w:hAnsi="仿宋_GB2312" w:eastAsia="仿宋_GB2312" w:cs="仿宋_GB2312"/>
          <w:color w:val="000000"/>
          <w:kern w:val="0"/>
          <w:sz w:val="27"/>
          <w:szCs w:val="27"/>
          <w:highlight w:val="none"/>
          <w:u w:val="none" w:color="auto"/>
        </w:rPr>
        <w:t>0%，变动原因：</w:t>
      </w:r>
      <w:r>
        <w:rPr>
          <w:rFonts w:hint="eastAsia" w:ascii="仿宋_GB2312" w:hAnsi="仿宋_GB2312" w:eastAsia="仿宋_GB2312" w:cs="仿宋_GB2312"/>
          <w:kern w:val="0"/>
          <w:sz w:val="27"/>
          <w:szCs w:val="27"/>
          <w:highlight w:val="none"/>
          <w:u w:val="none" w:color="auto"/>
        </w:rPr>
        <w:t>我单位类型为公益</w:t>
      </w:r>
      <w:r>
        <w:rPr>
          <w:rFonts w:hint="eastAsia" w:ascii="仿宋_GB2312" w:hAnsi="仿宋_GB2312" w:eastAsia="仿宋_GB2312" w:cs="仿宋_GB2312"/>
          <w:kern w:val="0"/>
          <w:sz w:val="27"/>
          <w:szCs w:val="27"/>
          <w:highlight w:val="none"/>
          <w:u w:val="none" w:color="auto"/>
          <w:lang w:eastAsia="zh-CN"/>
        </w:rPr>
        <w:t>一类</w:t>
      </w:r>
      <w:r>
        <w:rPr>
          <w:rFonts w:hint="eastAsia" w:ascii="仿宋_GB2312" w:hAnsi="仿宋_GB2312" w:eastAsia="仿宋_GB2312" w:cs="仿宋_GB2312"/>
          <w:kern w:val="0"/>
          <w:sz w:val="27"/>
          <w:szCs w:val="27"/>
          <w:highlight w:val="none"/>
          <w:u w:val="none" w:color="auto"/>
        </w:rPr>
        <w:t>单位，无机关运行经费支出。</w:t>
      </w:r>
    </w:p>
    <w:p w14:paraId="18DDD8E9">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十二、政府采购支出决算情况说明</w:t>
      </w:r>
    </w:p>
    <w:p w14:paraId="5288179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政府采购支出总额5.58万元，其中：政府采购货物支出2.21万元、政府采购工程支出0万元、政府采购服务支出3.37万元。政府采购授予中小企业合同金额3.84万元，占政府采购支出总额的68.82%，其中：授予小微企业合同金额2.94万元，占政府采购支出总额的52.69%；货物采购授予中小企业合同金额占货物支出金额的0%，工程采购授予中小企业合同金额占工程支出金额的0%，服务采购授予中小企业合同金额占服务支出金额的0%。</w:t>
      </w:r>
    </w:p>
    <w:p w14:paraId="5A97B9AC">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十三、国有资产占用情况说明</w:t>
      </w:r>
    </w:p>
    <w:p w14:paraId="7760649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截至2024年12月31日，本部门（单位）共有车辆1辆，其中：副部（省）级及以上领导用车0辆、主要负责人用车0辆、机要通信用车1辆、应急保障用车0辆、执法执勤用车0辆、特种专业技术用车0辆、离退休干部服务用车0辆，其他用车0辆；单价100万元（含）以上的设备（不含车辆）0台（套）。</w:t>
      </w:r>
    </w:p>
    <w:p w14:paraId="35C3C533">
      <w:pPr>
        <w:keepNext w:val="0"/>
        <w:keepLines w:val="0"/>
        <w:pageBreakBefore w:val="0"/>
        <w:widowControl/>
        <w:kinsoku/>
        <w:wordWrap/>
        <w:overflowPunct/>
        <w:topLinePunct w:val="0"/>
        <w:autoSpaceDE/>
        <w:autoSpaceDN/>
        <w:bidi w:val="0"/>
        <w:adjustRightInd/>
        <w:snapToGrid/>
        <w:spacing w:line="240" w:lineRule="auto"/>
        <w:ind w:firstLine="542" w:firstLineChars="200"/>
        <w:jc w:val="both"/>
        <w:textAlignment w:val="auto"/>
        <w:rPr>
          <w:rFonts w:hint="eastAsia" w:ascii="黑体" w:hAnsi="黑体" w:eastAsia="黑体" w:cs="黑体"/>
          <w:b/>
          <w:bCs/>
          <w:kern w:val="0"/>
          <w:sz w:val="27"/>
          <w:szCs w:val="27"/>
          <w:highlight w:val="none"/>
        </w:rPr>
      </w:pPr>
      <w:r>
        <w:rPr>
          <w:rFonts w:hint="eastAsia" w:ascii="黑体" w:hAnsi="黑体" w:eastAsia="黑体" w:cs="黑体"/>
          <w:b/>
          <w:bCs/>
          <w:kern w:val="0"/>
          <w:sz w:val="27"/>
          <w:szCs w:val="27"/>
          <w:highlight w:val="none"/>
        </w:rPr>
        <w:t>十四、预算绩效情况说明</w:t>
      </w:r>
    </w:p>
    <w:p w14:paraId="3D6319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（一）预算绩效管理工作开展情况。</w:t>
      </w:r>
    </w:p>
    <w:p w14:paraId="36CDD2C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根据预算绩效管理要求组织对2024年一般公共预算项目支出全面开展绩效自评，其中一级项目0个，二级项目0个，共涉及资金0万元，占一般公共预算项目支出总额的100%；政府性基金预算项目0个，其中，一级项目0个，二级项目0个，共涉及资金0万元，占应纳入绩效自评的政府性基金预算项目支出总额的100%。</w:t>
      </w:r>
    </w:p>
    <w:p w14:paraId="61A2C9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b/>
          <w:bCs/>
          <w:color w:val="000000"/>
          <w:kern w:val="0"/>
          <w:sz w:val="27"/>
          <w:szCs w:val="27"/>
          <w:highlight w:val="none"/>
          <w:u w:val="none" w:color="auto"/>
        </w:rPr>
        <w:t>（二）部门（单位）决算中项目绩效自评结果。</w:t>
      </w:r>
    </w:p>
    <w:p w14:paraId="754A85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hint="eastAsia" w:ascii="仿宋_GB2312" w:hAnsi="仿宋_GB2312" w:eastAsia="仿宋_GB2312" w:cs="仿宋_GB2312"/>
          <w:kern w:val="0"/>
          <w:sz w:val="27"/>
          <w:szCs w:val="27"/>
          <w:highlight w:val="none"/>
          <w:u w:val="none" w:color="auto"/>
        </w:rPr>
      </w:pPr>
      <w:r>
        <w:rPr>
          <w:rFonts w:hint="eastAsia" w:ascii="仿宋_GB2312" w:hAnsi="仿宋_GB2312" w:eastAsia="仿宋_GB2312" w:cs="仿宋_GB2312"/>
          <w:color w:val="000000"/>
          <w:kern w:val="0"/>
          <w:sz w:val="27"/>
          <w:szCs w:val="27"/>
          <w:highlight w:val="none"/>
          <w:u w:val="none" w:color="auto"/>
        </w:rPr>
        <w:t>内蒙古自治区包头市城市基础设施运行监控技术中心2024年度在决算中反映0个一般公共预算项目，以及0个政府性基金项目，共0个项目的绩效自评结果。</w:t>
      </w:r>
    </w:p>
    <w:p w14:paraId="4E9F957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2" w:firstLineChars="200"/>
        <w:jc w:val="both"/>
        <w:textAlignment w:val="auto"/>
        <w:rPr>
          <w:rFonts w:hint="eastAsia" w:ascii="仿宋_GB2312" w:hAnsi="仿宋_GB2312" w:eastAsia="仿宋_GB2312" w:cs="仿宋_GB2312"/>
          <w:b/>
          <w:bCs/>
          <w:kern w:val="0"/>
          <w:sz w:val="27"/>
          <w:szCs w:val="27"/>
          <w:highlight w:val="none"/>
          <w:u w:val="none" w:color="auto"/>
        </w:rPr>
      </w:pPr>
      <w:r>
        <w:rPr>
          <w:rFonts w:hint="eastAsia" w:ascii="仿宋_GB2312" w:hAnsi="仿宋_GB2312" w:eastAsia="仿宋_GB2312" w:cs="仿宋_GB2312"/>
          <w:b/>
          <w:bCs/>
          <w:kern w:val="0"/>
          <w:sz w:val="27"/>
          <w:szCs w:val="27"/>
          <w:highlight w:val="none"/>
          <w:u w:val="none" w:color="auto"/>
        </w:rPr>
        <w:t>（三）部门项目绩效评价结果。</w:t>
      </w:r>
    </w:p>
    <w:p w14:paraId="51A4160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40" w:firstLineChars="200"/>
        <w:jc w:val="both"/>
        <w:textAlignment w:val="auto"/>
        <w:rPr>
          <w:rFonts w:eastAsia="Times New Roman"/>
          <w:kern w:val="0"/>
          <w:sz w:val="24"/>
          <w:highlight w:val="none"/>
        </w:rPr>
      </w:pPr>
      <w:r>
        <w:rPr>
          <w:rFonts w:hint="eastAsia" w:ascii="仿宋_GB2312" w:hAnsi="仿宋_GB2312" w:eastAsia="仿宋_GB2312" w:cs="仿宋_GB2312"/>
          <w:kern w:val="0"/>
          <w:sz w:val="27"/>
          <w:szCs w:val="27"/>
          <w:highlight w:val="none"/>
          <w:u w:val="none" w:color="auto"/>
        </w:rPr>
        <w:t>我单位无项目支出</w:t>
      </w:r>
      <w:r>
        <w:rPr>
          <w:rFonts w:hint="eastAsia" w:ascii="仿宋_GB2312" w:hAnsi="仿宋_GB2312" w:eastAsia="仿宋_GB2312" w:cs="仿宋_GB2312"/>
          <w:kern w:val="0"/>
          <w:sz w:val="27"/>
          <w:szCs w:val="27"/>
          <w:highlight w:val="none"/>
          <w:u w:val="none" w:color="auto"/>
          <w:lang w:val="en-US" w:eastAsia="zh-CN"/>
        </w:rPr>
        <w:t>无需做项目绩效评价</w:t>
      </w:r>
      <w:r>
        <w:rPr>
          <w:rFonts w:hint="eastAsia" w:ascii="仿宋_GB2312" w:hAnsi="仿宋_GB2312" w:eastAsia="仿宋_GB2312" w:cs="仿宋_GB2312"/>
          <w:kern w:val="0"/>
          <w:sz w:val="27"/>
          <w:szCs w:val="27"/>
          <w:highlight w:val="none"/>
          <w:u w:val="none" w:color="auto"/>
        </w:rPr>
        <w:t>。</w:t>
      </w:r>
    </w:p>
    <w:p w14:paraId="6209E278">
      <w:pPr>
        <w:pStyle w:val="3"/>
        <w:keepNext w:val="0"/>
        <w:keepLines w:val="0"/>
        <w:pageBreakBefore w:val="0"/>
        <w:widowControl/>
        <w:kinsoku/>
        <w:wordWrap/>
        <w:overflowPunct/>
        <w:topLinePunct w:val="0"/>
        <w:autoSpaceDE/>
        <w:autoSpaceDN/>
        <w:bidi w:val="0"/>
        <w:adjustRightInd/>
        <w:snapToGrid/>
        <w:spacing w:before="299" w:after="299" w:line="240" w:lineRule="auto"/>
        <w:jc w:val="center"/>
        <w:textAlignment w:val="auto"/>
        <w:rPr>
          <w:rFonts w:ascii="fang_zheng_xiao_biao_song_ti" w:hAnsi="fang_zheng_xiao_biao_song_ti" w:eastAsia="fang_zheng_xiao_biao_song_ti" w:cs="fang_zheng_xiao_biao_song_ti"/>
          <w:kern w:val="0"/>
          <w:sz w:val="36"/>
          <w:szCs w:val="36"/>
          <w:highlight w:val="none"/>
        </w:rPr>
      </w:pPr>
      <w:r>
        <w:rPr>
          <w:rFonts w:ascii="fang_zheng_xiao_biao_song_ti" w:hAnsi="fang_zheng_xiao_biao_song_ti" w:eastAsia="fang_zheng_xiao_biao_song_ti" w:cs="fang_zheng_xiao_biao_song_ti"/>
          <w:kern w:val="0"/>
          <w:sz w:val="36"/>
          <w:szCs w:val="36"/>
          <w:highlight w:val="none"/>
        </w:rPr>
        <w:t>第三部分 名词解释</w:t>
      </w:r>
    </w:p>
    <w:p w14:paraId="588B9C94">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一、财政拨款收入：</w:t>
      </w:r>
      <w:r>
        <w:rPr>
          <w:rFonts w:ascii="仿宋_GB2312" w:hAnsi="仿宋_GB2312" w:eastAsia="仿宋_GB2312" w:cs="仿宋_GB2312"/>
          <w:kern w:val="0"/>
          <w:sz w:val="27"/>
          <w:szCs w:val="27"/>
          <w:highlight w:val="none"/>
        </w:rPr>
        <w:t>从同级财政部门取得的各类财政拨款，包括一般公共预算财政拨款、政府性基金预算财政拨款、国有资本经营预算财政拨款。</w:t>
      </w:r>
    </w:p>
    <w:p w14:paraId="235E105C">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二、上级补助收入：</w:t>
      </w:r>
      <w:r>
        <w:rPr>
          <w:rFonts w:ascii="仿宋_GB2312" w:hAnsi="仿宋_GB2312" w:eastAsia="仿宋_GB2312" w:cs="仿宋_GB2312"/>
          <w:kern w:val="0"/>
          <w:sz w:val="27"/>
          <w:szCs w:val="27"/>
          <w:highlight w:val="none"/>
        </w:rPr>
        <w:t>指事业单位从主管部门和上级单位取得的非财政补助收入。</w:t>
      </w:r>
    </w:p>
    <w:p w14:paraId="6909EA8B">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三、财政专户管理教育收费：</w:t>
      </w:r>
      <w:r>
        <w:rPr>
          <w:rFonts w:ascii="仿宋_GB2312" w:hAnsi="仿宋_GB2312" w:eastAsia="仿宋_GB2312" w:cs="仿宋_GB2312"/>
          <w:kern w:val="0"/>
          <w:sz w:val="27"/>
          <w:szCs w:val="27"/>
          <w:highlight w:val="none"/>
        </w:rPr>
        <w:t>指缴入财政专户、实行专项管理的高中以上学费、住宿费、高校委托培养费、函大、电大、夜大及短训班培训费等教育收费。</w:t>
      </w:r>
    </w:p>
    <w:p w14:paraId="16E460E1">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四、事业收入：</w:t>
      </w:r>
      <w:r>
        <w:rPr>
          <w:rFonts w:ascii="仿宋_GB2312" w:hAnsi="仿宋_GB2312" w:eastAsia="仿宋_GB2312" w:cs="仿宋_GB2312"/>
          <w:kern w:val="0"/>
          <w:sz w:val="27"/>
          <w:szCs w:val="27"/>
          <w:highlight w:val="none"/>
        </w:rPr>
        <w:t>指事业单位开展专业业务活动及其辅助活动取得的收入。</w:t>
      </w:r>
    </w:p>
    <w:p w14:paraId="2960C912">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五、经营收入：</w:t>
      </w:r>
      <w:r>
        <w:rPr>
          <w:rFonts w:ascii="仿宋_GB2312" w:hAnsi="仿宋_GB2312" w:eastAsia="仿宋_GB2312" w:cs="仿宋_GB2312"/>
          <w:kern w:val="0"/>
          <w:sz w:val="27"/>
          <w:szCs w:val="27"/>
          <w:highlight w:val="none"/>
        </w:rPr>
        <w:t>指事业单位在专业业务活动及其辅助活动之外开展非独立核算经营活动取得的收入。</w:t>
      </w:r>
    </w:p>
    <w:p w14:paraId="5F058568">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六、附属单位上缴收入：</w:t>
      </w:r>
      <w:r>
        <w:rPr>
          <w:rFonts w:ascii="仿宋_GB2312" w:hAnsi="仿宋_GB2312" w:eastAsia="仿宋_GB2312" w:cs="仿宋_GB2312"/>
          <w:kern w:val="0"/>
          <w:sz w:val="27"/>
          <w:szCs w:val="27"/>
          <w:highlight w:val="none"/>
        </w:rPr>
        <w:t>指事业单位取得附属独立核算单位按照有关规定上缴的收入。</w:t>
      </w:r>
    </w:p>
    <w:p w14:paraId="53B2BE2F">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七、其他收入：</w:t>
      </w:r>
      <w:r>
        <w:rPr>
          <w:rFonts w:ascii="仿宋_GB2312" w:hAnsi="仿宋_GB2312" w:eastAsia="仿宋_GB2312" w:cs="仿宋_GB2312"/>
          <w:kern w:val="0"/>
          <w:sz w:val="27"/>
          <w:szCs w:val="27"/>
          <w:highlight w:val="none"/>
        </w:rPr>
        <w:t>取得的除上述财政拨款收入、上级补助收入、事业收入、经营收入、附属单位上缴收入等以外的各项收入。</w:t>
      </w:r>
    </w:p>
    <w:p w14:paraId="79F626E8">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八、使用非财政拨款结余（含专用结余）：</w:t>
      </w:r>
      <w:r>
        <w:rPr>
          <w:rFonts w:ascii="仿宋_GB2312" w:hAnsi="仿宋_GB2312" w:eastAsia="仿宋_GB2312" w:cs="仿宋_GB2312"/>
          <w:kern w:val="0"/>
          <w:sz w:val="27"/>
          <w:szCs w:val="27"/>
          <w:highlight w:val="none"/>
        </w:rPr>
        <w:t>指事业单位按照预算管理要求使用非财政拨款结余</w:t>
      </w:r>
      <w:r>
        <w:rPr>
          <w:rFonts w:ascii="仿宋_GB2312" w:hAnsi="仿宋_GB2312" w:eastAsia="仿宋_GB2312" w:cs="仿宋_GB2312"/>
          <w:color w:val="000000"/>
          <w:kern w:val="0"/>
          <w:sz w:val="27"/>
          <w:szCs w:val="27"/>
          <w:highlight w:val="none"/>
        </w:rPr>
        <w:t>弥补收支差额的金额，以及使用专用结余安排支出的金额。</w:t>
      </w:r>
    </w:p>
    <w:p w14:paraId="5E0DF2E2">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九、年初结转和结余：</w:t>
      </w:r>
      <w:r>
        <w:rPr>
          <w:rFonts w:ascii="仿宋_GB2312" w:hAnsi="仿宋_GB2312" w:eastAsia="仿宋_GB2312" w:cs="仿宋_GB2312"/>
          <w:kern w:val="0"/>
          <w:sz w:val="27"/>
          <w:szCs w:val="27"/>
          <w:highlight w:val="none"/>
        </w:rPr>
        <w:t>指单位上年结转本年使用的基本支出结转、项目支出结转和结余、经营结余。</w:t>
      </w:r>
    </w:p>
    <w:p w14:paraId="5A1E4C64">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十、结余分配：</w:t>
      </w:r>
      <w:r>
        <w:rPr>
          <w:rFonts w:ascii="仿宋_GB2312" w:hAnsi="仿宋_GB2312" w:eastAsia="仿宋_GB2312" w:cs="仿宋_GB2312"/>
          <w:kern w:val="0"/>
          <w:sz w:val="27"/>
          <w:szCs w:val="27"/>
          <w:highlight w:val="none"/>
        </w:rPr>
        <w:t>指单位按规定缴纳企业所得税以及从非财政拨款结余或经营结余中提取各类结余的情况。</w:t>
      </w:r>
    </w:p>
    <w:p w14:paraId="2C5DC5E5">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十一、年末结转和结余资金：</w:t>
      </w:r>
      <w:r>
        <w:rPr>
          <w:rFonts w:ascii="仿宋_GB2312" w:hAnsi="仿宋_GB2312" w:eastAsia="仿宋_GB2312" w:cs="仿宋_GB2312"/>
          <w:kern w:val="0"/>
          <w:sz w:val="27"/>
          <w:szCs w:val="27"/>
          <w:highlight w:val="none"/>
        </w:rPr>
        <w:t>指单位结转下年的基本支出结转、项目支出结转和结余、经营结余。</w:t>
      </w:r>
    </w:p>
    <w:p w14:paraId="48B43FA5">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十二、基本支出：</w:t>
      </w:r>
      <w:r>
        <w:rPr>
          <w:rFonts w:ascii="仿宋_GB2312" w:hAnsi="仿宋_GB2312" w:eastAsia="仿宋_GB2312" w:cs="仿宋_GB2312"/>
          <w:kern w:val="0"/>
          <w:sz w:val="27"/>
          <w:szCs w:val="27"/>
          <w:highlight w:val="none"/>
        </w:rPr>
        <w:t>指为保障机构正常运转、完成日常工作任务所发生的支出，包括人员经费和公用经费。</w:t>
      </w:r>
    </w:p>
    <w:p w14:paraId="1CC20479">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十三、项目支出：</w:t>
      </w:r>
      <w:r>
        <w:rPr>
          <w:rFonts w:hint="eastAsia" w:ascii="仿宋_GB2312" w:hAnsi="仿宋_GB2312" w:eastAsia="仿宋_GB2312" w:cs="仿宋_GB2312"/>
          <w:b/>
          <w:bCs/>
          <w:kern w:val="0"/>
          <w:sz w:val="27"/>
          <w:szCs w:val="27"/>
          <w:highlight w:val="none"/>
          <w:lang w:eastAsia="zh-CN"/>
        </w:rPr>
        <w:t>指</w:t>
      </w:r>
      <w:r>
        <w:rPr>
          <w:rFonts w:ascii="仿宋_GB2312" w:hAnsi="仿宋_GB2312" w:eastAsia="仿宋_GB2312" w:cs="仿宋_GB2312"/>
          <w:kern w:val="0"/>
          <w:sz w:val="27"/>
          <w:szCs w:val="27"/>
          <w:highlight w:val="none"/>
        </w:rPr>
        <w:t>为完成特定的行政工作任务或事业发展目标所发生的支出。</w:t>
      </w:r>
    </w:p>
    <w:p w14:paraId="2D21DCC9">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十四、上缴上级支出：</w:t>
      </w:r>
      <w:r>
        <w:rPr>
          <w:rFonts w:ascii="仿宋_GB2312" w:hAnsi="仿宋_GB2312" w:eastAsia="仿宋_GB2312" w:cs="仿宋_GB2312"/>
          <w:kern w:val="0"/>
          <w:sz w:val="27"/>
          <w:szCs w:val="27"/>
          <w:highlight w:val="none"/>
        </w:rPr>
        <w:t>指事业单位按照财政部门和主管部门的规定上缴上级单位的支出。</w:t>
      </w:r>
    </w:p>
    <w:p w14:paraId="094031BF">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十五、经营支出：</w:t>
      </w:r>
      <w:r>
        <w:rPr>
          <w:rFonts w:ascii="仿宋_GB2312" w:hAnsi="仿宋_GB2312" w:eastAsia="仿宋_GB2312" w:cs="仿宋_GB2312"/>
          <w:kern w:val="0"/>
          <w:sz w:val="27"/>
          <w:szCs w:val="27"/>
          <w:highlight w:val="none"/>
        </w:rPr>
        <w:t>指事业单位在专业业务活动及其辅助活动之外开展非独立核算经营活动发生的支出。</w:t>
      </w:r>
    </w:p>
    <w:p w14:paraId="0F3C2170">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十六、对附属单位补助支出：</w:t>
      </w:r>
      <w:r>
        <w:rPr>
          <w:rFonts w:ascii="仿宋_GB2312" w:hAnsi="仿宋_GB2312" w:eastAsia="仿宋_GB2312" w:cs="仿宋_GB2312"/>
          <w:kern w:val="0"/>
          <w:sz w:val="27"/>
          <w:szCs w:val="27"/>
          <w:highlight w:val="none"/>
        </w:rPr>
        <w:t>指事业单位用财政拨款收入之外的收入对附属单位补助发生的支出。</w:t>
      </w:r>
    </w:p>
    <w:p w14:paraId="4A8A6D86">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eastAsia="Times New Roman"/>
          <w:kern w:val="0"/>
          <w:sz w:val="27"/>
          <w:szCs w:val="27"/>
          <w:highlight w:val="none"/>
        </w:rPr>
      </w:pPr>
      <w:r>
        <w:rPr>
          <w:rFonts w:ascii="仿宋_GB2312" w:hAnsi="仿宋_GB2312" w:eastAsia="仿宋_GB2312" w:cs="仿宋_GB2312"/>
          <w:b/>
          <w:bCs/>
          <w:kern w:val="0"/>
          <w:sz w:val="27"/>
          <w:szCs w:val="27"/>
          <w:highlight w:val="none"/>
        </w:rPr>
        <w:t>十七、“三公”经费：</w:t>
      </w:r>
      <w:r>
        <w:rPr>
          <w:rFonts w:ascii="仿宋_GB2312" w:hAnsi="仿宋_GB2312" w:eastAsia="仿宋_GB2312" w:cs="仿宋_GB2312"/>
          <w:kern w:val="0"/>
          <w:sz w:val="27"/>
          <w:szCs w:val="27"/>
          <w:highlight w:val="none"/>
        </w:rPr>
        <w:t>指部门（单位）用财政拨款安排的因公出国（境）费、公务用车购置及运行维护费和公务接待费。其中，因公出国（境）费反映部门（单位）</w:t>
      </w:r>
      <w:r>
        <w:rPr>
          <w:rFonts w:hint="eastAsia" w:ascii="仿宋_GB2312" w:hAnsi="仿宋_GB2312" w:eastAsia="仿宋_GB2312" w:cs="仿宋_GB2312"/>
          <w:kern w:val="0"/>
          <w:sz w:val="27"/>
          <w:szCs w:val="27"/>
          <w:highlight w:val="none"/>
          <w:lang w:eastAsia="zh-CN"/>
        </w:rPr>
        <w:t>）</w:t>
      </w:r>
      <w:r>
        <w:rPr>
          <w:rFonts w:ascii="仿宋_GB2312" w:hAnsi="仿宋_GB2312" w:eastAsia="仿宋_GB2312" w:cs="仿宋_GB2312"/>
          <w:kern w:val="0"/>
          <w:sz w:val="27"/>
          <w:szCs w:val="27"/>
          <w:highlight w:val="none"/>
        </w:rPr>
        <w:t>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9C6BBC3">
      <w:pPr>
        <w:keepNext w:val="0"/>
        <w:keepLines w:val="0"/>
        <w:pageBreakBefore w:val="0"/>
        <w:widowControl/>
        <w:kinsoku/>
        <w:wordWrap/>
        <w:overflowPunct/>
        <w:topLinePunct w:val="0"/>
        <w:autoSpaceDE/>
        <w:autoSpaceDN/>
        <w:bidi w:val="0"/>
        <w:adjustRightInd/>
        <w:snapToGrid/>
        <w:ind w:firstLine="542" w:firstLineChars="200"/>
        <w:jc w:val="both"/>
        <w:textAlignment w:val="auto"/>
        <w:rPr>
          <w:rFonts w:ascii="仿宋_GB2312" w:hAnsi="仿宋_GB2312" w:eastAsia="仿宋_GB2312" w:cs="仿宋_GB2312"/>
          <w:kern w:val="0"/>
          <w:sz w:val="27"/>
          <w:szCs w:val="27"/>
          <w:highlight w:val="none"/>
        </w:rPr>
      </w:pPr>
      <w:r>
        <w:rPr>
          <w:rFonts w:ascii="仿宋_GB2312" w:hAnsi="仿宋_GB2312" w:eastAsia="仿宋_GB2312" w:cs="仿宋_GB2312"/>
          <w:b/>
          <w:bCs/>
          <w:kern w:val="0"/>
          <w:sz w:val="27"/>
          <w:szCs w:val="27"/>
          <w:highlight w:val="none"/>
        </w:rPr>
        <w:t>十八、机关运行经费：</w:t>
      </w:r>
      <w:r>
        <w:rPr>
          <w:rFonts w:ascii="仿宋_GB2312" w:hAnsi="仿宋_GB2312" w:eastAsia="仿宋_GB2312" w:cs="仿宋_GB2312"/>
          <w:color w:val="000000"/>
          <w:kern w:val="0"/>
          <w:sz w:val="27"/>
          <w:szCs w:val="27"/>
          <w:highlight w:val="none"/>
        </w:rPr>
        <w:t>指行政单位和参照公务员法管理的事业单位财政拨款</w:t>
      </w:r>
      <w:r>
        <w:rPr>
          <w:rFonts w:ascii="仿宋_GB2312" w:hAnsi="仿宋_GB2312" w:eastAsia="仿宋_GB2312" w:cs="仿宋_GB2312"/>
          <w:kern w:val="0"/>
          <w:sz w:val="27"/>
          <w:szCs w:val="27"/>
          <w:highlight w:val="none"/>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7D837418">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ascii="仿宋_GB2312" w:hAnsi="仿宋_GB2312" w:eastAsia="仿宋_GB2312" w:cs="仿宋_GB2312"/>
          <w:kern w:val="0"/>
          <w:sz w:val="27"/>
          <w:szCs w:val="27"/>
          <w:highlight w:val="none"/>
        </w:rPr>
      </w:pPr>
    </w:p>
    <w:p w14:paraId="28E18AE9">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ascii="仿宋_GB2312" w:hAnsi="仿宋_GB2312" w:eastAsia="仿宋_GB2312" w:cs="仿宋_GB2312"/>
          <w:kern w:val="0"/>
          <w:sz w:val="27"/>
          <w:szCs w:val="27"/>
          <w:highlight w:val="none"/>
        </w:rPr>
      </w:pPr>
    </w:p>
    <w:p w14:paraId="529532AC">
      <w:pPr>
        <w:pStyle w:val="3"/>
        <w:keepNext w:val="0"/>
        <w:keepLines w:val="0"/>
        <w:pageBreakBefore w:val="0"/>
        <w:widowControl/>
        <w:kinsoku/>
        <w:wordWrap/>
        <w:overflowPunct/>
        <w:topLinePunct w:val="0"/>
        <w:autoSpaceDE/>
        <w:autoSpaceDN/>
        <w:bidi w:val="0"/>
        <w:adjustRightInd/>
        <w:snapToGrid/>
        <w:spacing w:before="299" w:after="299" w:line="240" w:lineRule="auto"/>
        <w:jc w:val="center"/>
        <w:textAlignment w:val="auto"/>
        <w:rPr>
          <w:rFonts w:ascii="fang_zheng_xiao_biao_song_ti" w:hAnsi="fang_zheng_xiao_biao_song_ti" w:eastAsia="fang_zheng_xiao_biao_song_ti" w:cs="fang_zheng_xiao_biao_song_ti"/>
          <w:kern w:val="0"/>
          <w:sz w:val="36"/>
          <w:szCs w:val="36"/>
          <w:highlight w:val="none"/>
        </w:rPr>
      </w:pPr>
      <w:r>
        <w:rPr>
          <w:rFonts w:ascii="fang_zheng_xiao_biao_song_ti" w:hAnsi="fang_zheng_xiao_biao_song_ti" w:eastAsia="fang_zheng_xiao_biao_song_ti" w:cs="fang_zheng_xiao_biao_song_ti"/>
          <w:kern w:val="0"/>
          <w:sz w:val="36"/>
          <w:szCs w:val="36"/>
          <w:highlight w:val="none"/>
        </w:rPr>
        <w:t>第四部分 决算公开联系方式及信息反馈渠道</w:t>
      </w:r>
    </w:p>
    <w:p w14:paraId="76D3FDD0">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rPr>
      </w:pPr>
    </w:p>
    <w:p w14:paraId="794EB5B8">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hint="eastAsia" w:ascii="仿宋_GB2312" w:hAnsi="仿宋_GB2312" w:eastAsia="仿宋_GB2312" w:cs="仿宋_GB2312"/>
          <w:kern w:val="0"/>
          <w:sz w:val="27"/>
          <w:szCs w:val="27"/>
          <w:highlight w:val="none"/>
        </w:rPr>
      </w:pPr>
      <w:r>
        <w:rPr>
          <w:rFonts w:hint="eastAsia" w:ascii="仿宋_GB2312" w:hAnsi="仿宋_GB2312" w:eastAsia="仿宋_GB2312" w:cs="仿宋_GB2312"/>
          <w:kern w:val="0"/>
          <w:sz w:val="27"/>
          <w:szCs w:val="27"/>
          <w:highlight w:val="none"/>
        </w:rPr>
        <w:t>本部门（单位）决算公开信息反馈和联系方式：</w:t>
      </w:r>
    </w:p>
    <w:p w14:paraId="1988387D">
      <w:pPr>
        <w:keepNext w:val="0"/>
        <w:keepLines w:val="0"/>
        <w:pageBreakBefore w:val="0"/>
        <w:widowControl/>
        <w:kinsoku/>
        <w:wordWrap/>
        <w:overflowPunct/>
        <w:topLinePunct w:val="0"/>
        <w:autoSpaceDE/>
        <w:autoSpaceDN/>
        <w:bidi w:val="0"/>
        <w:adjustRightInd/>
        <w:snapToGrid/>
        <w:ind w:firstLine="540" w:firstLineChars="200"/>
        <w:jc w:val="both"/>
        <w:textAlignment w:val="auto"/>
        <w:rPr>
          <w:rFonts w:eastAsia="Times New Roman"/>
          <w:kern w:val="0"/>
          <w:sz w:val="24"/>
          <w:highlight w:val="none"/>
          <w:u w:val="none"/>
        </w:rPr>
      </w:pPr>
      <w:r>
        <w:rPr>
          <w:rFonts w:hint="eastAsia" w:ascii="仿宋_GB2312" w:hAnsi="仿宋_GB2312" w:eastAsia="仿宋_GB2312" w:cs="仿宋_GB2312"/>
          <w:kern w:val="0"/>
          <w:sz w:val="27"/>
          <w:szCs w:val="27"/>
          <w:highlight w:val="none"/>
          <w:u w:val="none"/>
        </w:rPr>
        <w:t>联系人：刘璐</w:t>
      </w:r>
      <w:r>
        <w:rPr>
          <w:rFonts w:hint="eastAsia" w:ascii="仿宋_GB2312" w:hAnsi="仿宋_GB2312" w:eastAsia="仿宋_GB2312" w:cs="仿宋_GB2312"/>
          <w:kern w:val="0"/>
          <w:sz w:val="27"/>
          <w:szCs w:val="27"/>
          <w:highlight w:val="none"/>
          <w:u w:val="none"/>
          <w:lang w:val="en-US" w:eastAsia="zh-CN"/>
        </w:rPr>
        <w:t xml:space="preserve">       </w:t>
      </w:r>
      <w:r>
        <w:rPr>
          <w:rFonts w:hint="eastAsia" w:ascii="仿宋_GB2312" w:hAnsi="仿宋_GB2312" w:eastAsia="仿宋_GB2312" w:cs="仿宋_GB2312"/>
          <w:kern w:val="0"/>
          <w:sz w:val="27"/>
          <w:szCs w:val="27"/>
          <w:highlight w:val="none"/>
          <w:u w:val="none"/>
        </w:rPr>
        <w:t>联系电话：0472-5220976</w:t>
      </w:r>
    </w:p>
    <w:p w14:paraId="18A391A7">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highlight w:val="none"/>
        </w:rPr>
      </w:pPr>
    </w:p>
    <w:p w14:paraId="44355B99">
      <w:pPr>
        <w:pStyle w:val="3"/>
        <w:keepNext w:val="0"/>
        <w:keepLines w:val="0"/>
        <w:pageBreakBefore w:val="0"/>
        <w:widowControl/>
        <w:kinsoku/>
        <w:wordWrap/>
        <w:overflowPunct/>
        <w:topLinePunct w:val="0"/>
        <w:autoSpaceDE/>
        <w:autoSpaceDN/>
        <w:bidi w:val="0"/>
        <w:adjustRightInd/>
        <w:snapToGrid/>
        <w:spacing w:before="299" w:after="299" w:line="240" w:lineRule="auto"/>
        <w:jc w:val="center"/>
        <w:textAlignment w:val="auto"/>
        <w:rPr>
          <w:rFonts w:ascii="fang_zheng_xiao_biao_song_ti" w:hAnsi="fang_zheng_xiao_biao_song_ti" w:eastAsia="fang_zheng_xiao_biao_song_ti" w:cs="fang_zheng_xiao_biao_song_ti"/>
          <w:kern w:val="0"/>
          <w:sz w:val="36"/>
          <w:szCs w:val="36"/>
          <w:highlight w:val="none"/>
        </w:rPr>
      </w:pPr>
      <w:r>
        <w:rPr>
          <w:rFonts w:ascii="fang_zheng_xiao_biao_song_ti" w:hAnsi="fang_zheng_xiao_biao_song_ti" w:eastAsia="fang_zheng_xiao_biao_song_ti" w:cs="fang_zheng_xiao_biao_song_ti"/>
          <w:kern w:val="0"/>
          <w:sz w:val="36"/>
          <w:szCs w:val="36"/>
          <w:highlight w:val="none"/>
        </w:rPr>
        <w:t>第五部分 部门（单位）决算表</w:t>
      </w:r>
    </w:p>
    <w:p w14:paraId="62014FC2">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eastAsia="Times New Roman"/>
          <w:kern w:val="0"/>
          <w:sz w:val="24"/>
          <w:highlight w:val="none"/>
        </w:rPr>
      </w:pPr>
    </w:p>
    <w:p w14:paraId="57468372">
      <w:pPr>
        <w:keepNext w:val="0"/>
        <w:keepLines w:val="0"/>
        <w:pageBreakBefore w:val="0"/>
        <w:widowControl/>
        <w:kinsoku/>
        <w:wordWrap/>
        <w:overflowPunct/>
        <w:topLinePunct w:val="0"/>
        <w:autoSpaceDE/>
        <w:autoSpaceDN/>
        <w:bidi w:val="0"/>
        <w:adjustRightInd/>
        <w:snapToGrid/>
        <w:ind w:firstLine="540" w:firstLineChars="200"/>
        <w:jc w:val="both"/>
        <w:textAlignment w:val="auto"/>
        <w:rPr>
          <w:highlight w:val="none"/>
        </w:rPr>
      </w:pPr>
      <w:r>
        <w:rPr>
          <w:rFonts w:ascii="仿宋_GB2312" w:hAnsi="仿宋_GB2312" w:eastAsia="仿宋_GB2312" w:cs="仿宋_GB2312"/>
          <w:kern w:val="0"/>
          <w:sz w:val="27"/>
          <w:szCs w:val="27"/>
          <w:highlight w:val="none"/>
        </w:rPr>
        <w:t>见附件。</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Times New Roman"/>
    <w:panose1 w:val="00000000000000000000"/>
    <w:charset w:val="00"/>
    <w:family w:val="roman"/>
    <w:pitch w:val="default"/>
    <w:sig w:usb0="00000000" w:usb1="00000000" w:usb2="00000000" w:usb3="00000000" w:csb0="00000000" w:csb1="00000000"/>
  </w:font>
  <w:font w:name="fang_zheng_xiao_biao_song_ti">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36BE">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52F77">
    <w:pPr>
      <w:pStyle w:val="11"/>
      <w:jc w:val="center"/>
    </w:pPr>
    <w:r>
      <w:fldChar w:fldCharType="begin"/>
    </w:r>
    <w:r>
      <w:instrText xml:space="preserve"> PAGE   \* MERGEFORMAT </w:instrText>
    </w:r>
    <w:r>
      <w:fldChar w:fldCharType="separate"/>
    </w:r>
    <w:r>
      <w:rPr>
        <w:lang w:val="zh-CN"/>
      </w:rPr>
      <w:t>24</w:t>
    </w:r>
    <w:r>
      <w:rPr>
        <w:lang w:val="zh-CN"/>
      </w:rPr>
      <w:fldChar w:fldCharType="end"/>
    </w:r>
  </w:p>
  <w:p w14:paraId="31DCA42B">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27E6A"/>
    <w:rsid w:val="00155A0C"/>
    <w:rsid w:val="001620BF"/>
    <w:rsid w:val="001814D4"/>
    <w:rsid w:val="00183373"/>
    <w:rsid w:val="001D2A0E"/>
    <w:rsid w:val="001E7634"/>
    <w:rsid w:val="00204509"/>
    <w:rsid w:val="00225D2E"/>
    <w:rsid w:val="0023107E"/>
    <w:rsid w:val="00233241"/>
    <w:rsid w:val="00277145"/>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264F7"/>
    <w:rsid w:val="00667493"/>
    <w:rsid w:val="006C017F"/>
    <w:rsid w:val="006E7255"/>
    <w:rsid w:val="007003B2"/>
    <w:rsid w:val="007402A0"/>
    <w:rsid w:val="00762248"/>
    <w:rsid w:val="00787000"/>
    <w:rsid w:val="007A7BA5"/>
    <w:rsid w:val="007B6706"/>
    <w:rsid w:val="007C1FDD"/>
    <w:rsid w:val="007D6292"/>
    <w:rsid w:val="00801625"/>
    <w:rsid w:val="00840680"/>
    <w:rsid w:val="00857D98"/>
    <w:rsid w:val="00894C48"/>
    <w:rsid w:val="00896385"/>
    <w:rsid w:val="008A10DB"/>
    <w:rsid w:val="008B5455"/>
    <w:rsid w:val="008C6DE2"/>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70412"/>
    <w:rsid w:val="00D96390"/>
    <w:rsid w:val="00E219E7"/>
    <w:rsid w:val="00E30CE0"/>
    <w:rsid w:val="00E3602E"/>
    <w:rsid w:val="00E508B5"/>
    <w:rsid w:val="00E60D6A"/>
    <w:rsid w:val="00E73321"/>
    <w:rsid w:val="00E77EC0"/>
    <w:rsid w:val="00E914C1"/>
    <w:rsid w:val="00E97C37"/>
    <w:rsid w:val="00EE533B"/>
    <w:rsid w:val="00F03A2B"/>
    <w:rsid w:val="00F04882"/>
    <w:rsid w:val="00F63327"/>
    <w:rsid w:val="00F80A29"/>
    <w:rsid w:val="00FA7CA5"/>
    <w:rsid w:val="00FB4567"/>
    <w:rsid w:val="00FD08EC"/>
    <w:rsid w:val="00FD7690"/>
    <w:rsid w:val="0A3B1C94"/>
    <w:rsid w:val="173D33CF"/>
    <w:rsid w:val="19FF6A8F"/>
    <w:rsid w:val="1FEB1D34"/>
    <w:rsid w:val="208D6733"/>
    <w:rsid w:val="22345FFA"/>
    <w:rsid w:val="34AF5DE6"/>
    <w:rsid w:val="3CFF55DD"/>
    <w:rsid w:val="455336A1"/>
    <w:rsid w:val="48AD01C2"/>
    <w:rsid w:val="4A3915BF"/>
    <w:rsid w:val="4CE90CC5"/>
    <w:rsid w:val="51CD438B"/>
    <w:rsid w:val="5A355549"/>
    <w:rsid w:val="65010959"/>
    <w:rsid w:val="70B2124A"/>
    <w:rsid w:val="73077EE0"/>
    <w:rsid w:val="75092898"/>
    <w:rsid w:val="7AAB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 w:type="paragraph" w:customStyle="1" w:styleId="29">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0">
    <w:name w:val="正文首行缩进 21"/>
    <w:basedOn w:val="31"/>
    <w:qFormat/>
    <w:uiPriority w:val="0"/>
    <w:pPr>
      <w:ind w:firstLine="420" w:firstLineChars="200"/>
    </w:pPr>
  </w:style>
  <w:style w:type="paragraph" w:customStyle="1" w:styleId="31">
    <w:name w:val="正文文本缩进1"/>
    <w:basedOn w:val="1"/>
    <w:qFormat/>
    <w:uiPriority w:val="0"/>
    <w:pPr>
      <w:ind w:left="420" w:left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D7A8275-1174-4DF4-B18F-062B0734C9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589</Words>
  <Characters>595</Characters>
  <Lines>79</Lines>
  <Paragraphs>22</Paragraphs>
  <TotalTime>22</TotalTime>
  <ScaleCrop>false</ScaleCrop>
  <LinksUpToDate>false</LinksUpToDate>
  <CharactersWithSpaces>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2025-09-16T08:54:00Z</dcterms:created>
  <dc:creator>Administrator</dc:creator>
  <cp:lastModifiedBy>媛媛</cp:lastModifiedBy>
  <cp:lastPrinted>2021-04-16T00:45:00Z</cp:lastPrinted>
  <dcterms:modified xsi:type="dcterms:W3CDTF">2025-10-10T07:35:52Z</dcterms:modified>
  <dc:title>××年度××部门/单位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5E140D9AA51B45DB8A4C6780A8A8E9E3_13</vt:lpwstr>
  </property>
  <property fmtid="{D5CDD505-2E9C-101B-9397-08002B2CF9AE}" pid="3" name="KSOProductBuildVer">
    <vt:lpwstr>2052-12.1.0.22529</vt:lpwstr>
  </property>
  <property fmtid="{D5CDD505-2E9C-101B-9397-08002B2CF9AE}" pid="4" name="KSOTemplateDocerSaveRecord">
    <vt:lpwstr>eyJoZGlkIjoiMWVhZmQ0NmM0MDJlYjliMDM5ODE2ZTAzMjM1N2M4MGUiLCJ1c2VySWQiOiIyNzQxNjYyNTIifQ==</vt:lpwstr>
  </property>
</Properties>
</file>