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D83AF">
      <w:pPr>
        <w:spacing w:line="578" w:lineRule="exact"/>
        <w:jc w:val="center"/>
        <w:rPr>
          <w:rFonts w:ascii="宋体" w:hAnsi="宋体"/>
          <w:sz w:val="24"/>
        </w:rPr>
      </w:pPr>
    </w:p>
    <w:p w14:paraId="5E9C5133">
      <w:pPr>
        <w:spacing w:line="578" w:lineRule="exact"/>
        <w:jc w:val="center"/>
        <w:rPr>
          <w:rFonts w:ascii="宋体" w:hAnsi="宋体"/>
          <w:sz w:val="24"/>
        </w:rPr>
      </w:pPr>
    </w:p>
    <w:p w14:paraId="5B1F6069">
      <w:pPr>
        <w:spacing w:line="578" w:lineRule="exact"/>
        <w:jc w:val="center"/>
        <w:rPr>
          <w:rFonts w:ascii="宋体" w:hAnsi="宋体"/>
          <w:sz w:val="24"/>
        </w:rPr>
      </w:pPr>
    </w:p>
    <w:p w14:paraId="4AD62416">
      <w:pPr>
        <w:spacing w:line="578" w:lineRule="exact"/>
        <w:jc w:val="center"/>
        <w:rPr>
          <w:rFonts w:ascii="宋体" w:hAnsi="宋体"/>
          <w:sz w:val="24"/>
        </w:rPr>
      </w:pPr>
    </w:p>
    <w:p w14:paraId="00A3BEE9">
      <w:pPr>
        <w:spacing w:line="578" w:lineRule="exact"/>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年度内蒙古自治区包头市住房和城乡建设局综合保障中心</w:t>
      </w:r>
    </w:p>
    <w:p w14:paraId="54E84AA1">
      <w:pPr>
        <w:spacing w:line="578" w:lineRule="exact"/>
        <w:jc w:val="center"/>
        <w:rPr>
          <w:rFonts w:ascii="宋体" w:hAnsi="宋体"/>
          <w:b/>
          <w:bCs/>
          <w:sz w:val="52"/>
          <w:szCs w:val="52"/>
        </w:rPr>
      </w:pPr>
      <w:r>
        <w:rPr>
          <w:rFonts w:hint="eastAsia" w:ascii="宋体" w:hAnsi="宋体"/>
          <w:b/>
          <w:bCs/>
          <w:sz w:val="52"/>
          <w:szCs w:val="52"/>
          <w:lang w:val="en-US" w:eastAsia="zh-CN"/>
        </w:rPr>
        <w:t>决算</w:t>
      </w:r>
      <w:r>
        <w:rPr>
          <w:rFonts w:hint="eastAsia" w:ascii="宋体" w:hAnsi="宋体"/>
          <w:b/>
          <w:bCs/>
          <w:sz w:val="52"/>
          <w:szCs w:val="52"/>
        </w:rPr>
        <w:t>公开报告</w:t>
      </w:r>
    </w:p>
    <w:p w14:paraId="4D49EA2B">
      <w:pPr>
        <w:spacing w:line="578" w:lineRule="exact"/>
        <w:jc w:val="center"/>
        <w:rPr>
          <w:rFonts w:ascii="宋体" w:hAnsi="宋体"/>
          <w:b/>
          <w:bCs/>
          <w:sz w:val="52"/>
          <w:szCs w:val="52"/>
        </w:rPr>
      </w:pPr>
    </w:p>
    <w:p w14:paraId="41E4B926">
      <w:pPr>
        <w:spacing w:line="578" w:lineRule="exact"/>
        <w:jc w:val="center"/>
        <w:rPr>
          <w:rFonts w:ascii="宋体" w:hAnsi="宋体"/>
          <w:b/>
          <w:bCs/>
          <w:sz w:val="52"/>
          <w:szCs w:val="52"/>
        </w:rPr>
      </w:pPr>
    </w:p>
    <w:p w14:paraId="5BC0E8A3">
      <w:pPr>
        <w:spacing w:line="578" w:lineRule="exact"/>
        <w:jc w:val="center"/>
        <w:rPr>
          <w:rFonts w:ascii="宋体" w:hAnsi="宋体"/>
          <w:b/>
          <w:bCs/>
          <w:sz w:val="52"/>
          <w:szCs w:val="52"/>
        </w:rPr>
      </w:pPr>
    </w:p>
    <w:p w14:paraId="4D3B6BC9">
      <w:pPr>
        <w:spacing w:line="578" w:lineRule="exact"/>
        <w:jc w:val="center"/>
        <w:rPr>
          <w:rFonts w:ascii="宋体" w:hAnsi="宋体"/>
          <w:b/>
          <w:bCs/>
          <w:sz w:val="52"/>
          <w:szCs w:val="52"/>
        </w:rPr>
      </w:pPr>
    </w:p>
    <w:p w14:paraId="3EC1D504">
      <w:pPr>
        <w:spacing w:line="578" w:lineRule="exact"/>
        <w:jc w:val="center"/>
        <w:rPr>
          <w:rFonts w:ascii="宋体" w:hAnsi="宋体"/>
          <w:b/>
          <w:bCs/>
          <w:sz w:val="52"/>
          <w:szCs w:val="52"/>
        </w:rPr>
      </w:pPr>
    </w:p>
    <w:p w14:paraId="4B58EA24">
      <w:pPr>
        <w:spacing w:line="578" w:lineRule="exact"/>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333EB1BC">
      <w:pPr>
        <w:widowControl/>
        <w:spacing w:line="578" w:lineRule="exact"/>
        <w:jc w:val="center"/>
        <w:rPr>
          <w:rFonts w:ascii="黑体" w:hAnsi="黑体" w:eastAsia="黑体" w:cs="黑体"/>
          <w:kern w:val="0"/>
          <w:sz w:val="52"/>
          <w:szCs w:val="52"/>
        </w:rPr>
      </w:pPr>
      <w:bookmarkStart w:id="0" w:name="a000"/>
      <w:r>
        <w:rPr>
          <w:rFonts w:hint="eastAsia" w:ascii="黑体" w:hAnsi="黑体" w:eastAsia="黑体" w:cs="黑体"/>
          <w:b/>
          <w:bCs/>
          <w:kern w:val="0"/>
          <w:sz w:val="52"/>
          <w:szCs w:val="52"/>
        </w:rPr>
        <w:t>目 录</w:t>
      </w:r>
    </w:p>
    <w:p w14:paraId="4113C9A9">
      <w:pPr>
        <w:widowControl/>
        <w:spacing w:line="578" w:lineRule="exact"/>
        <w:jc w:val="left"/>
        <w:rPr>
          <w:rFonts w:ascii="黑体" w:hAnsi="黑体" w:eastAsia="黑体" w:cs="黑体"/>
          <w:kern w:val="0"/>
          <w:sz w:val="52"/>
          <w:szCs w:val="52"/>
        </w:rPr>
      </w:pPr>
      <w:r>
        <w:rPr>
          <w:rFonts w:hint="eastAsia" w:ascii="黑体" w:hAnsi="黑体" w:eastAsia="黑体" w:cs="黑体"/>
          <w:b/>
          <w:bCs/>
          <w:kern w:val="0"/>
          <w:sz w:val="52"/>
          <w:szCs w:val="52"/>
        </w:rPr>
        <w:t> </w:t>
      </w:r>
    </w:p>
    <w:p w14:paraId="3C5228BC">
      <w:pPr>
        <w:widowControl/>
        <w:spacing w:line="578" w:lineRule="exact"/>
        <w:ind w:firstLine="640" w:firstLineChars="200"/>
        <w:jc w:val="left"/>
        <w:rPr>
          <w:rFonts w:eastAsia="Times New Roman"/>
          <w:kern w:val="0"/>
          <w:sz w:val="32"/>
          <w:szCs w:val="32"/>
        </w:rPr>
      </w:pPr>
      <w:r>
        <w:rPr>
          <w:rFonts w:ascii="黑体" w:hAnsi="黑体" w:eastAsia="黑体" w:cs="黑体"/>
          <w:kern w:val="0"/>
          <w:sz w:val="32"/>
          <w:szCs w:val="32"/>
        </w:rPr>
        <w:t>第一部分 部门（单位）概况</w:t>
      </w:r>
    </w:p>
    <w:p w14:paraId="67BE853A">
      <w:pPr>
        <w:widowControl/>
        <w:spacing w:line="578"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一、主要职能、职责</w:t>
      </w:r>
    </w:p>
    <w:p w14:paraId="558FED27">
      <w:pPr>
        <w:widowControl/>
        <w:spacing w:line="578"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二、部门（单位）机构设置及决算单位构成情况</w:t>
      </w:r>
    </w:p>
    <w:p w14:paraId="2FFE1509">
      <w:pPr>
        <w:widowControl/>
        <w:spacing w:line="578"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三、2024年度部门（单位）主要工作完成情况</w:t>
      </w:r>
    </w:p>
    <w:p w14:paraId="7BEA7363">
      <w:pPr>
        <w:widowControl/>
        <w:spacing w:line="578" w:lineRule="exact"/>
        <w:ind w:firstLine="640" w:firstLineChars="200"/>
        <w:jc w:val="left"/>
        <w:rPr>
          <w:rFonts w:eastAsia="Times New Roman"/>
          <w:kern w:val="0"/>
          <w:sz w:val="32"/>
          <w:szCs w:val="32"/>
        </w:rPr>
      </w:pPr>
      <w:r>
        <w:rPr>
          <w:rFonts w:ascii="黑体" w:hAnsi="黑体" w:eastAsia="黑体" w:cs="黑体"/>
          <w:kern w:val="0"/>
          <w:sz w:val="32"/>
          <w:szCs w:val="32"/>
        </w:rPr>
        <w:t>第二部分 部门（单位）决算情况说明</w:t>
      </w:r>
    </w:p>
    <w:p w14:paraId="0A0C790E">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一、收入支出决算总体情况说明</w:t>
      </w:r>
    </w:p>
    <w:p w14:paraId="2BC213B1">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二、收入决算情况说明</w:t>
      </w:r>
    </w:p>
    <w:p w14:paraId="0DF60D2E">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三、支出决算情况说明</w:t>
      </w:r>
    </w:p>
    <w:p w14:paraId="590BE50D">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四、财政拨款收入支出决算总体情况说明</w:t>
      </w:r>
    </w:p>
    <w:p w14:paraId="4F62A1FA">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五、一般公共预算财政拨款支出决算情况说明</w:t>
      </w:r>
    </w:p>
    <w:p w14:paraId="679E4BC9">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六、一般公共预算财政拨款基本支出决算情况说明</w:t>
      </w:r>
    </w:p>
    <w:p w14:paraId="0DC20824">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七、一般公共预算财政拨款项目支出决算情况说明</w:t>
      </w:r>
    </w:p>
    <w:p w14:paraId="112BBCAA">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八、财政拨款“三公”经费支出决算情况说明</w:t>
      </w:r>
    </w:p>
    <w:p w14:paraId="1F7BE169">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九、政府性基金预算财政拨款支出决算情况说明</w:t>
      </w:r>
    </w:p>
    <w:p w14:paraId="5D01910A">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十、国有资本经营预算财政拨款支出决算情况说明</w:t>
      </w:r>
    </w:p>
    <w:p w14:paraId="72141845">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十一、机关运行经费（公用经费）支出决算情况说明</w:t>
      </w:r>
    </w:p>
    <w:p w14:paraId="6DBA00AF">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十二、政府采购支出决算情况说明</w:t>
      </w:r>
    </w:p>
    <w:p w14:paraId="40F0F1FF">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十三、国有资产占用情况说明</w:t>
      </w:r>
    </w:p>
    <w:p w14:paraId="5A5A5C59">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十四、预算绩效情况说明</w:t>
      </w:r>
    </w:p>
    <w:p w14:paraId="4D9C189B">
      <w:pPr>
        <w:widowControl/>
        <w:spacing w:line="578" w:lineRule="exact"/>
        <w:ind w:firstLine="640" w:firstLineChars="200"/>
        <w:jc w:val="left"/>
        <w:rPr>
          <w:rFonts w:eastAsia="Times New Roman"/>
          <w:kern w:val="0"/>
          <w:sz w:val="32"/>
          <w:szCs w:val="32"/>
        </w:rPr>
      </w:pPr>
      <w:r>
        <w:rPr>
          <w:rFonts w:ascii="黑体" w:hAnsi="黑体" w:eastAsia="黑体" w:cs="黑体"/>
          <w:kern w:val="0"/>
          <w:sz w:val="32"/>
          <w:szCs w:val="32"/>
        </w:rPr>
        <w:t>第三部分 名词解释</w:t>
      </w:r>
    </w:p>
    <w:p w14:paraId="109CC54C">
      <w:pPr>
        <w:widowControl/>
        <w:spacing w:line="578" w:lineRule="exact"/>
        <w:ind w:firstLine="640" w:firstLineChars="200"/>
        <w:jc w:val="left"/>
        <w:rPr>
          <w:rFonts w:eastAsia="Times New Roman"/>
          <w:kern w:val="0"/>
          <w:sz w:val="32"/>
          <w:szCs w:val="32"/>
        </w:rPr>
      </w:pPr>
      <w:r>
        <w:rPr>
          <w:rFonts w:ascii="黑体" w:hAnsi="黑体" w:eastAsia="黑体" w:cs="黑体"/>
          <w:kern w:val="0"/>
          <w:sz w:val="32"/>
          <w:szCs w:val="32"/>
        </w:rPr>
        <w:t>第四部分 决算公开联系方式及信息反馈渠道</w:t>
      </w:r>
    </w:p>
    <w:p w14:paraId="0B9555A0">
      <w:pPr>
        <w:widowControl/>
        <w:spacing w:line="578" w:lineRule="exact"/>
        <w:ind w:firstLine="640" w:firstLineChars="200"/>
        <w:jc w:val="left"/>
        <w:rPr>
          <w:rFonts w:eastAsia="Times New Roman"/>
          <w:kern w:val="0"/>
          <w:sz w:val="32"/>
          <w:szCs w:val="32"/>
        </w:rPr>
      </w:pPr>
      <w:r>
        <w:rPr>
          <w:rFonts w:ascii="黑体" w:hAnsi="黑体" w:eastAsia="黑体" w:cs="黑体"/>
          <w:kern w:val="0"/>
          <w:sz w:val="32"/>
          <w:szCs w:val="32"/>
        </w:rPr>
        <w:t>第五部分 部门（单位）决算表</w:t>
      </w:r>
    </w:p>
    <w:p w14:paraId="6F7DEAEC">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一、收入支出决算总表</w:t>
      </w:r>
    </w:p>
    <w:p w14:paraId="41C91AF9">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二、收入决算表</w:t>
      </w:r>
    </w:p>
    <w:p w14:paraId="4FBFD8BB">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三、支出决算表</w:t>
      </w:r>
    </w:p>
    <w:p w14:paraId="3B4B048E">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四、财政拨款收入支出决算总表</w:t>
      </w:r>
    </w:p>
    <w:p w14:paraId="700A3A36">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五、一般公共预算财政拨款支出决算表</w:t>
      </w:r>
    </w:p>
    <w:p w14:paraId="6CA8617C">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六、一般公共预算财政拨款基本支出决算明细表</w:t>
      </w:r>
    </w:p>
    <w:p w14:paraId="1C19EF82">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七、一般公共预算财政拨款项目支出决算明细表</w:t>
      </w:r>
    </w:p>
    <w:p w14:paraId="7985F014">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八、政府性基金预算财政拨款收入支出决算表</w:t>
      </w:r>
    </w:p>
    <w:p w14:paraId="01567816">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九、国有资本经营预算财政拨款收入支出决算表</w:t>
      </w:r>
    </w:p>
    <w:p w14:paraId="6DF0BD86">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十、财政拨款“三公”经费支出决算表</w:t>
      </w:r>
    </w:p>
    <w:p w14:paraId="59750C49">
      <w:pPr>
        <w:widowControl/>
        <w:spacing w:line="578" w:lineRule="exact"/>
        <w:ind w:firstLine="640" w:firstLineChars="200"/>
        <w:jc w:val="left"/>
        <w:rPr>
          <w:rFonts w:eastAsia="Times New Roman"/>
          <w:kern w:val="0"/>
          <w:sz w:val="32"/>
          <w:szCs w:val="32"/>
        </w:rPr>
      </w:pPr>
      <w:r>
        <w:rPr>
          <w:rFonts w:ascii="仿宋_GB2312" w:hAnsi="仿宋_GB2312" w:eastAsia="仿宋_GB2312" w:cs="仿宋_GB2312"/>
          <w:kern w:val="0"/>
          <w:sz w:val="32"/>
          <w:szCs w:val="32"/>
        </w:rPr>
        <w:t>十一、机关运行经费支出、国有资产占用情况及政府采购支出信息表</w:t>
      </w:r>
    </w:p>
    <w:p w14:paraId="48228681">
      <w:pPr>
        <w:widowControl/>
        <w:spacing w:line="578" w:lineRule="exact"/>
        <w:rPr>
          <w:rFonts w:eastAsia="Times New Roman"/>
          <w:kern w:val="0"/>
          <w:sz w:val="32"/>
          <w:szCs w:val="32"/>
        </w:rPr>
      </w:pPr>
    </w:p>
    <w:p w14:paraId="1DD601C2">
      <w:pPr>
        <w:pStyle w:val="2"/>
        <w:ind w:firstLine="640"/>
        <w:rPr>
          <w:rFonts w:eastAsia="Times New Roman"/>
          <w:kern w:val="0"/>
          <w:sz w:val="32"/>
          <w:szCs w:val="32"/>
        </w:rPr>
      </w:pPr>
    </w:p>
    <w:p w14:paraId="1AE18EF2">
      <w:pPr>
        <w:pStyle w:val="2"/>
        <w:ind w:firstLine="640"/>
        <w:rPr>
          <w:rFonts w:eastAsia="Times New Roman"/>
          <w:kern w:val="0"/>
          <w:sz w:val="32"/>
          <w:szCs w:val="32"/>
        </w:rPr>
      </w:pPr>
    </w:p>
    <w:p w14:paraId="68EBE404">
      <w:pPr>
        <w:pStyle w:val="2"/>
        <w:ind w:firstLine="640"/>
        <w:rPr>
          <w:rFonts w:eastAsia="Times New Roman"/>
          <w:kern w:val="0"/>
          <w:sz w:val="32"/>
          <w:szCs w:val="32"/>
        </w:rPr>
      </w:pPr>
    </w:p>
    <w:p w14:paraId="192FB490">
      <w:pPr>
        <w:pStyle w:val="2"/>
        <w:ind w:firstLine="640"/>
        <w:rPr>
          <w:rFonts w:eastAsia="Times New Roman"/>
          <w:kern w:val="0"/>
          <w:sz w:val="32"/>
          <w:szCs w:val="32"/>
        </w:rPr>
      </w:pPr>
    </w:p>
    <w:p w14:paraId="7A059367">
      <w:pPr>
        <w:pStyle w:val="2"/>
        <w:ind w:firstLine="640"/>
        <w:rPr>
          <w:rFonts w:eastAsia="Times New Roman"/>
          <w:kern w:val="0"/>
          <w:sz w:val="32"/>
          <w:szCs w:val="32"/>
        </w:rPr>
      </w:pPr>
    </w:p>
    <w:p w14:paraId="5658266F">
      <w:pPr>
        <w:pStyle w:val="2"/>
        <w:ind w:firstLine="640"/>
        <w:rPr>
          <w:rFonts w:eastAsia="Times New Roman"/>
          <w:kern w:val="0"/>
          <w:sz w:val="32"/>
          <w:szCs w:val="32"/>
        </w:rPr>
      </w:pPr>
    </w:p>
    <w:p w14:paraId="37DDD1FE">
      <w:pPr>
        <w:pStyle w:val="2"/>
        <w:ind w:firstLine="640"/>
        <w:rPr>
          <w:rFonts w:eastAsia="Times New Roman"/>
          <w:kern w:val="0"/>
          <w:sz w:val="32"/>
          <w:szCs w:val="32"/>
        </w:rPr>
      </w:pPr>
    </w:p>
    <w:p w14:paraId="538A4769">
      <w:pPr>
        <w:pStyle w:val="2"/>
        <w:ind w:firstLine="640"/>
        <w:rPr>
          <w:rFonts w:eastAsia="Times New Roman"/>
          <w:kern w:val="0"/>
          <w:sz w:val="32"/>
          <w:szCs w:val="32"/>
        </w:rPr>
      </w:pPr>
    </w:p>
    <w:p w14:paraId="71A53672">
      <w:pPr>
        <w:pStyle w:val="2"/>
        <w:ind w:firstLine="640"/>
        <w:rPr>
          <w:rFonts w:eastAsia="Times New Roman"/>
          <w:kern w:val="0"/>
          <w:sz w:val="32"/>
          <w:szCs w:val="32"/>
        </w:rPr>
      </w:pPr>
    </w:p>
    <w:p w14:paraId="0B9D3CD6">
      <w:pPr>
        <w:pStyle w:val="2"/>
        <w:ind w:firstLine="640"/>
        <w:rPr>
          <w:rFonts w:eastAsia="Times New Roman"/>
          <w:kern w:val="0"/>
          <w:sz w:val="32"/>
          <w:szCs w:val="32"/>
        </w:rPr>
      </w:pPr>
    </w:p>
    <w:p w14:paraId="08C66DCD">
      <w:pPr>
        <w:pStyle w:val="2"/>
        <w:ind w:firstLine="640"/>
        <w:rPr>
          <w:rFonts w:eastAsia="Times New Roman"/>
          <w:kern w:val="0"/>
          <w:sz w:val="32"/>
          <w:szCs w:val="32"/>
        </w:rPr>
      </w:pPr>
    </w:p>
    <w:p w14:paraId="5D146B15">
      <w:pPr>
        <w:pStyle w:val="5"/>
        <w:keepNext w:val="0"/>
        <w:keepLines w:val="0"/>
        <w:widowControl/>
        <w:spacing w:before="0" w:after="0" w:line="578" w:lineRule="exact"/>
        <w:jc w:val="center"/>
        <w:rPr>
          <w:rFonts w:ascii="微软雅黑" w:hAnsi="微软雅黑" w:eastAsia="微软雅黑" w:cs="微软雅黑"/>
          <w:b w:val="0"/>
          <w:bCs w:val="0"/>
          <w:kern w:val="0"/>
          <w:sz w:val="36"/>
          <w:szCs w:val="36"/>
        </w:rPr>
      </w:pPr>
      <w:r>
        <w:rPr>
          <w:rFonts w:hint="eastAsia" w:ascii="微软雅黑" w:hAnsi="微软雅黑" w:eastAsia="微软雅黑" w:cs="微软雅黑"/>
          <w:b w:val="0"/>
          <w:bCs w:val="0"/>
          <w:kern w:val="0"/>
          <w:sz w:val="36"/>
          <w:szCs w:val="36"/>
        </w:rPr>
        <w:t>第一部分 部门（单位）概况</w:t>
      </w:r>
    </w:p>
    <w:p w14:paraId="34D4DB2E">
      <w:pPr>
        <w:widowControl/>
        <w:spacing w:line="578" w:lineRule="exact"/>
        <w:ind w:firstLine="922" w:firstLineChars="287"/>
        <w:jc w:val="left"/>
        <w:rPr>
          <w:rFonts w:ascii="黑体" w:hAnsi="黑体" w:eastAsia="黑体" w:cs="黑体"/>
          <w:b/>
          <w:bCs/>
          <w:kern w:val="0"/>
          <w:sz w:val="32"/>
          <w:szCs w:val="32"/>
        </w:rPr>
      </w:pPr>
    </w:p>
    <w:p w14:paraId="1FDE643B">
      <w:pPr>
        <w:widowControl/>
        <w:spacing w:line="578" w:lineRule="exact"/>
        <w:ind w:firstLine="643" w:firstLineChars="200"/>
        <w:jc w:val="left"/>
        <w:rPr>
          <w:rFonts w:ascii="黑体" w:hAnsi="黑体" w:eastAsia="黑体" w:cs="黑体"/>
          <w:b/>
          <w:bCs/>
          <w:kern w:val="0"/>
          <w:sz w:val="32"/>
          <w:szCs w:val="32"/>
        </w:rPr>
      </w:pPr>
      <w:r>
        <w:rPr>
          <w:rFonts w:ascii="黑体" w:hAnsi="黑体" w:eastAsia="黑体" w:cs="黑体"/>
          <w:b/>
          <w:bCs/>
          <w:kern w:val="0"/>
          <w:sz w:val="32"/>
          <w:szCs w:val="32"/>
        </w:rPr>
        <w:t>一、主要职能、职责</w:t>
      </w:r>
    </w:p>
    <w:p w14:paraId="121579B6">
      <w:pPr>
        <w:widowControl/>
        <w:spacing w:line="578" w:lineRule="exact"/>
        <w:ind w:firstLine="640" w:firstLineChars="200"/>
        <w:jc w:val="left"/>
        <w:rPr>
          <w:rFonts w:eastAsia="Times New Roman"/>
          <w:kern w:val="0"/>
          <w:sz w:val="32"/>
          <w:szCs w:val="32"/>
        </w:rPr>
      </w:pPr>
      <w:r>
        <w:rPr>
          <w:rFonts w:eastAsia="仿宋_GB2312" w:cstheme="minorBidi"/>
          <w:sz w:val="32"/>
          <w:szCs w:val="32"/>
        </w:rPr>
        <w:t>按照《关于市住房和城乡建设局所属事业单位机构职能编制的批复》（包机编办发</w:t>
      </w:r>
      <w:r>
        <w:rPr>
          <w:rFonts w:hint="eastAsia" w:eastAsia="仿宋_GB2312" w:cstheme="minorBidi"/>
          <w:sz w:val="32"/>
          <w:szCs w:val="32"/>
        </w:rPr>
        <w:t>〔</w:t>
      </w:r>
      <w:r>
        <w:rPr>
          <w:rFonts w:eastAsia="仿宋_GB2312" w:cstheme="minorBidi"/>
          <w:sz w:val="32"/>
          <w:szCs w:val="32"/>
        </w:rPr>
        <w:t>2021</w:t>
      </w:r>
      <w:r>
        <w:rPr>
          <w:rFonts w:hint="eastAsia" w:eastAsia="仿宋_GB2312" w:cstheme="minorBidi"/>
          <w:sz w:val="32"/>
          <w:szCs w:val="32"/>
        </w:rPr>
        <w:t>〕</w:t>
      </w:r>
      <w:r>
        <w:rPr>
          <w:rFonts w:eastAsia="仿宋_GB2312" w:cstheme="minorBidi"/>
          <w:sz w:val="32"/>
          <w:szCs w:val="32"/>
        </w:rPr>
        <w:t>77号）文件要求，将包头市住房保障和房屋管理局机关事务服务中心、包头市城乡建设委员会会计集中核算和机关事务服务中心整合，组建市住建局综合保障中心单位性质为全额拨款事业单位，主管局为包头市住房和城乡建设局。</w:t>
      </w:r>
    </w:p>
    <w:p w14:paraId="236DC3BF">
      <w:pPr>
        <w:widowControl/>
        <w:spacing w:line="578" w:lineRule="exact"/>
        <w:ind w:firstLine="643" w:firstLineChars="200"/>
        <w:jc w:val="left"/>
        <w:rPr>
          <w:rFonts w:ascii="黑体" w:hAnsi="黑体" w:eastAsia="黑体" w:cs="黑体"/>
          <w:b/>
          <w:bCs/>
          <w:kern w:val="0"/>
          <w:sz w:val="32"/>
          <w:szCs w:val="32"/>
        </w:rPr>
      </w:pPr>
      <w:r>
        <w:rPr>
          <w:rFonts w:hint="eastAsia" w:ascii="黑体" w:hAnsi="黑体" w:eastAsia="黑体" w:cs="黑体"/>
          <w:b/>
          <w:bCs/>
          <w:kern w:val="0"/>
          <w:sz w:val="32"/>
          <w:szCs w:val="32"/>
        </w:rPr>
        <w:t>二、</w:t>
      </w:r>
      <w:r>
        <w:rPr>
          <w:rFonts w:ascii="黑体" w:hAnsi="黑体" w:eastAsia="黑体" w:cs="黑体"/>
          <w:b/>
          <w:bCs/>
          <w:kern w:val="0"/>
          <w:sz w:val="32"/>
          <w:szCs w:val="32"/>
        </w:rPr>
        <w:t>部门（单位）机构设置及决算单位构成情况</w:t>
      </w:r>
    </w:p>
    <w:p w14:paraId="4C2BB1BC">
      <w:pPr>
        <w:widowControl/>
        <w:spacing w:line="578" w:lineRule="exact"/>
        <w:ind w:firstLine="640" w:firstLineChars="200"/>
        <w:jc w:val="left"/>
        <w:rPr>
          <w:rFonts w:eastAsia="仿宋_GB2312" w:cstheme="minorBidi"/>
          <w:sz w:val="32"/>
          <w:szCs w:val="32"/>
        </w:rPr>
      </w:pPr>
      <w:r>
        <w:rPr>
          <w:rFonts w:hint="eastAsia" w:eastAsia="仿宋_GB2312" w:cstheme="minorBidi"/>
          <w:sz w:val="32"/>
          <w:szCs w:val="32"/>
        </w:rPr>
        <w:t>1.根据单位职责分工，本单位内设机构包括：综合办公室、组织人事室、核算一室、核算二室、后勤保障一室、后勤保障二室、资产管理室、档案管理室。本单位无下属单位。</w:t>
      </w:r>
    </w:p>
    <w:p w14:paraId="4DB32C90">
      <w:pPr>
        <w:spacing w:line="578" w:lineRule="exact"/>
        <w:ind w:firstLine="640" w:firstLineChars="200"/>
        <w:rPr>
          <w:rFonts w:eastAsia="仿宋_GB2312" w:cstheme="minorBidi"/>
          <w:sz w:val="32"/>
          <w:szCs w:val="32"/>
        </w:rPr>
      </w:pPr>
      <w:r>
        <w:rPr>
          <w:rFonts w:hint="eastAsia" w:eastAsia="仿宋_GB2312" w:cstheme="minorBidi"/>
          <w:sz w:val="32"/>
          <w:szCs w:val="32"/>
        </w:rPr>
        <w:t>2．从预算单位构成看，纳入本部门（单位）2025年部门汇总预算编制范围的预算单位共计1家。</w:t>
      </w:r>
    </w:p>
    <w:p w14:paraId="3A592CF7">
      <w:pPr>
        <w:tabs>
          <w:tab w:val="left" w:pos="3532"/>
        </w:tabs>
        <w:autoSpaceDE w:val="0"/>
        <w:autoSpaceDN w:val="0"/>
        <w:adjustRightInd w:val="0"/>
        <w:spacing w:line="578"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单位情况表</w:t>
      </w:r>
    </w:p>
    <w:tbl>
      <w:tblPr>
        <w:tblStyle w:val="20"/>
        <w:tblpPr w:leftFromText="180" w:rightFromText="180" w:vertAnchor="text" w:horzAnchor="page" w:tblpX="1745" w:tblpY="190"/>
        <w:tblOverlap w:val="never"/>
        <w:tblW w:w="9347" w:type="dxa"/>
        <w:tblInd w:w="0" w:type="dxa"/>
        <w:tblLayout w:type="fixed"/>
        <w:tblCellMar>
          <w:top w:w="0" w:type="dxa"/>
          <w:left w:w="108" w:type="dxa"/>
          <w:bottom w:w="0" w:type="dxa"/>
          <w:right w:w="108" w:type="dxa"/>
        </w:tblCellMar>
      </w:tblPr>
      <w:tblGrid>
        <w:gridCol w:w="876"/>
        <w:gridCol w:w="4043"/>
        <w:gridCol w:w="4428"/>
      </w:tblGrid>
      <w:tr w14:paraId="6EA27F3D">
        <w:tblPrEx>
          <w:tblCellMar>
            <w:top w:w="0" w:type="dxa"/>
            <w:left w:w="108" w:type="dxa"/>
            <w:bottom w:w="0" w:type="dxa"/>
            <w:right w:w="108" w:type="dxa"/>
          </w:tblCellMar>
        </w:tblPrEx>
        <w:trPr>
          <w:trHeight w:val="595" w:hRule="atLeast"/>
        </w:trPr>
        <w:tc>
          <w:tcPr>
            <w:tcW w:w="876" w:type="dxa"/>
            <w:tcBorders>
              <w:top w:val="single" w:color="auto" w:sz="4" w:space="0"/>
              <w:left w:val="single" w:color="auto" w:sz="4" w:space="0"/>
              <w:bottom w:val="single" w:color="auto" w:sz="4" w:space="0"/>
              <w:right w:val="single" w:color="auto" w:sz="4" w:space="0"/>
            </w:tcBorders>
            <w:vAlign w:val="center"/>
          </w:tcPr>
          <w:p w14:paraId="138AF19A">
            <w:pPr>
              <w:widowControl/>
              <w:spacing w:line="578" w:lineRule="exact"/>
              <w:jc w:val="center"/>
              <w:rPr>
                <w:rFonts w:ascii="仿宋" w:hAnsi="仿宋" w:eastAsia="仿宋" w:cs="仿宋"/>
                <w:kern w:val="0"/>
                <w:sz w:val="32"/>
                <w:szCs w:val="32"/>
              </w:rPr>
            </w:pPr>
            <w:r>
              <w:rPr>
                <w:rFonts w:hint="eastAsia" w:ascii="仿宋" w:hAnsi="仿宋" w:eastAsia="仿宋" w:cs="仿宋"/>
                <w:kern w:val="0"/>
                <w:sz w:val="32"/>
                <w:szCs w:val="32"/>
              </w:rPr>
              <w:t>序号</w:t>
            </w:r>
          </w:p>
        </w:tc>
        <w:tc>
          <w:tcPr>
            <w:tcW w:w="4043" w:type="dxa"/>
            <w:tcBorders>
              <w:top w:val="single" w:color="auto" w:sz="4" w:space="0"/>
              <w:left w:val="nil"/>
              <w:bottom w:val="single" w:color="auto" w:sz="4" w:space="0"/>
              <w:right w:val="single" w:color="auto" w:sz="4" w:space="0"/>
            </w:tcBorders>
            <w:vAlign w:val="center"/>
          </w:tcPr>
          <w:p w14:paraId="035D5FA7">
            <w:pPr>
              <w:widowControl/>
              <w:spacing w:line="578" w:lineRule="exact"/>
              <w:jc w:val="center"/>
              <w:rPr>
                <w:rFonts w:ascii="仿宋" w:hAnsi="仿宋" w:eastAsia="仿宋" w:cs="仿宋"/>
                <w:kern w:val="0"/>
                <w:sz w:val="32"/>
                <w:szCs w:val="32"/>
              </w:rPr>
            </w:pPr>
            <w:r>
              <w:rPr>
                <w:rFonts w:hint="eastAsia" w:ascii="仿宋" w:hAnsi="仿宋" w:eastAsia="仿宋" w:cs="仿宋"/>
                <w:kern w:val="0"/>
                <w:sz w:val="32"/>
                <w:szCs w:val="32"/>
              </w:rPr>
              <w:t>单位名称</w:t>
            </w:r>
          </w:p>
        </w:tc>
        <w:tc>
          <w:tcPr>
            <w:tcW w:w="4428" w:type="dxa"/>
            <w:tcBorders>
              <w:top w:val="single" w:color="auto" w:sz="4" w:space="0"/>
              <w:left w:val="nil"/>
              <w:bottom w:val="single" w:color="auto" w:sz="4" w:space="0"/>
              <w:right w:val="single" w:color="auto" w:sz="4" w:space="0"/>
            </w:tcBorders>
            <w:vAlign w:val="center"/>
          </w:tcPr>
          <w:p w14:paraId="6DBEB632">
            <w:pPr>
              <w:widowControl/>
              <w:spacing w:line="578" w:lineRule="exact"/>
              <w:jc w:val="center"/>
              <w:rPr>
                <w:rFonts w:ascii="仿宋" w:hAnsi="仿宋" w:eastAsia="仿宋" w:cs="仿宋"/>
                <w:kern w:val="0"/>
                <w:sz w:val="32"/>
                <w:szCs w:val="32"/>
              </w:rPr>
            </w:pPr>
            <w:r>
              <w:rPr>
                <w:rFonts w:hint="eastAsia" w:ascii="仿宋" w:hAnsi="仿宋" w:eastAsia="仿宋" w:cs="仿宋"/>
                <w:kern w:val="0"/>
                <w:sz w:val="32"/>
                <w:szCs w:val="32"/>
              </w:rPr>
              <w:t>单位性质</w:t>
            </w:r>
          </w:p>
        </w:tc>
      </w:tr>
      <w:tr w14:paraId="7160E42E">
        <w:tblPrEx>
          <w:tblCellMar>
            <w:top w:w="0" w:type="dxa"/>
            <w:left w:w="108" w:type="dxa"/>
            <w:bottom w:w="0" w:type="dxa"/>
            <w:right w:w="108" w:type="dxa"/>
          </w:tblCellMar>
        </w:tblPrEx>
        <w:trPr>
          <w:trHeight w:val="364" w:hRule="atLeast"/>
        </w:trPr>
        <w:tc>
          <w:tcPr>
            <w:tcW w:w="876" w:type="dxa"/>
            <w:tcBorders>
              <w:top w:val="nil"/>
              <w:left w:val="single" w:color="auto" w:sz="4" w:space="0"/>
              <w:bottom w:val="single" w:color="auto" w:sz="4" w:space="0"/>
              <w:right w:val="single" w:color="auto" w:sz="4" w:space="0"/>
            </w:tcBorders>
            <w:vAlign w:val="center"/>
          </w:tcPr>
          <w:p w14:paraId="73E6E7D0">
            <w:pPr>
              <w:widowControl/>
              <w:spacing w:line="578" w:lineRule="exact"/>
              <w:jc w:val="center"/>
              <w:rPr>
                <w:rFonts w:ascii="仿宋" w:hAnsi="仿宋" w:eastAsia="仿宋" w:cs="仿宋"/>
                <w:kern w:val="0"/>
                <w:sz w:val="32"/>
                <w:szCs w:val="32"/>
              </w:rPr>
            </w:pPr>
            <w:r>
              <w:rPr>
                <w:rFonts w:hint="eastAsia" w:ascii="仿宋" w:hAnsi="仿宋" w:eastAsia="仿宋" w:cs="仿宋"/>
                <w:kern w:val="0"/>
                <w:sz w:val="32"/>
                <w:szCs w:val="32"/>
              </w:rPr>
              <w:t>1</w:t>
            </w:r>
          </w:p>
        </w:tc>
        <w:tc>
          <w:tcPr>
            <w:tcW w:w="4043" w:type="dxa"/>
            <w:tcBorders>
              <w:top w:val="nil"/>
              <w:left w:val="nil"/>
              <w:bottom w:val="single" w:color="auto" w:sz="4" w:space="0"/>
              <w:right w:val="single" w:color="auto" w:sz="4" w:space="0"/>
            </w:tcBorders>
            <w:vAlign w:val="center"/>
          </w:tcPr>
          <w:p w14:paraId="7D3E704C">
            <w:pPr>
              <w:widowControl/>
              <w:spacing w:line="578" w:lineRule="exact"/>
              <w:rPr>
                <w:rFonts w:eastAsia="仿宋_GB2312" w:cstheme="minorBidi"/>
                <w:sz w:val="32"/>
                <w:szCs w:val="32"/>
              </w:rPr>
            </w:pPr>
            <w:r>
              <w:rPr>
                <w:rFonts w:hint="eastAsia" w:eastAsia="仿宋_GB2312" w:cstheme="minorBidi"/>
                <w:sz w:val="32"/>
                <w:szCs w:val="32"/>
              </w:rPr>
              <w:t xml:space="preserve">包头市住房和城乡建设局综合保障中心         </w:t>
            </w:r>
          </w:p>
        </w:tc>
        <w:tc>
          <w:tcPr>
            <w:tcW w:w="4428" w:type="dxa"/>
            <w:tcBorders>
              <w:top w:val="nil"/>
              <w:left w:val="nil"/>
              <w:bottom w:val="single" w:color="auto" w:sz="4" w:space="0"/>
              <w:right w:val="single" w:color="auto" w:sz="4" w:space="0"/>
            </w:tcBorders>
            <w:vAlign w:val="center"/>
          </w:tcPr>
          <w:p w14:paraId="444B769E">
            <w:pPr>
              <w:widowControl/>
              <w:spacing w:line="578" w:lineRule="exact"/>
              <w:rPr>
                <w:rFonts w:eastAsia="仿宋_GB2312" w:cstheme="minorBidi"/>
                <w:sz w:val="32"/>
                <w:szCs w:val="32"/>
              </w:rPr>
            </w:pPr>
            <w:r>
              <w:rPr>
                <w:rFonts w:hint="eastAsia" w:eastAsia="仿宋_GB2312" w:cstheme="minorBidi"/>
                <w:sz w:val="32"/>
                <w:szCs w:val="32"/>
              </w:rPr>
              <w:t>公益一类事业单位</w:t>
            </w:r>
          </w:p>
        </w:tc>
      </w:tr>
    </w:tbl>
    <w:p w14:paraId="61A0A7EA">
      <w:pPr>
        <w:widowControl/>
        <w:spacing w:line="578" w:lineRule="exact"/>
        <w:rPr>
          <w:rFonts w:eastAsia="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hint="eastAsia" w:ascii="Calibri" w:hAnsi="Calibri" w:cs="Calibri"/>
          <w:b/>
          <w:bCs/>
          <w:kern w:val="0"/>
          <w:sz w:val="32"/>
          <w:szCs w:val="32"/>
        </w:rPr>
        <w:t xml:space="preserve">  </w:t>
      </w:r>
      <w:r>
        <w:rPr>
          <w:rFonts w:ascii="黑体" w:hAnsi="黑体" w:eastAsia="黑体" w:cs="黑体"/>
          <w:b/>
          <w:bCs/>
          <w:kern w:val="0"/>
          <w:sz w:val="32"/>
          <w:szCs w:val="32"/>
        </w:rPr>
        <w:t xml:space="preserve"> 三、2024年度部门（单位）主要工作完成情况</w:t>
      </w:r>
    </w:p>
    <w:p w14:paraId="0DC78F78">
      <w:pPr>
        <w:spacing w:line="578" w:lineRule="exact"/>
        <w:ind w:firstLine="640" w:firstLineChars="200"/>
        <w:rPr>
          <w:rFonts w:ascii="仿宋_GB2312" w:hAnsi="仿宋_GB2312" w:eastAsia="仿宋_GB2312" w:cs="仿宋_GB2312"/>
          <w:sz w:val="32"/>
          <w:szCs w:val="32"/>
        </w:rPr>
      </w:pPr>
      <w:r>
        <w:rPr>
          <w:rFonts w:ascii="仿宋_GB2312" w:hAnsi="仿宋_GB2312" w:eastAsia="仿宋_GB2312" w:cs="仿宋_GB2312"/>
          <w:kern w:val="0"/>
          <w:sz w:val="32"/>
          <w:szCs w:val="32"/>
        </w:rPr>
        <w:t> </w:t>
      </w:r>
      <w:r>
        <w:rPr>
          <w:rFonts w:hint="eastAsia" w:ascii="楷体_GB2312" w:hAnsi="楷体_GB2312" w:eastAsia="楷体_GB2312" w:cs="楷体_GB2312"/>
          <w:b/>
          <w:bCs/>
          <w:spacing w:val="-1"/>
          <w:sz w:val="32"/>
          <w:szCs w:val="32"/>
        </w:rPr>
        <w:t>（一）以严谨细致为基石，提升财务核算水平。</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严格按照财务制度和单位内部规定，对各类收支业务进行日常账务处理累计处理7家核算单位原始凭证1846笔，共完成资金支付预算合计2.39亿元；</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完成7家单位一般性支出、“三公”经费支出、工会决算、工会经费收支预算、及25年预算填报工作；</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完成7家核算单位2023年会计凭证、报表、账簿的收集、整理、装订工作，共装订会计凭证113本、会计账簿95本；完成2024年账户年检工作，配合审计局审计重点工程项目，并配合财政局检查会计信息质量工作。</w:t>
      </w:r>
    </w:p>
    <w:p w14:paraId="72FB9803">
      <w:pPr>
        <w:spacing w:line="578" w:lineRule="exact"/>
        <w:ind w:firstLine="647" w:firstLineChars="200"/>
        <w:rPr>
          <w:rFonts w:ascii="仿宋_GB2312" w:hAnsi="仿宋_GB2312" w:eastAsia="仿宋_GB2312" w:cs="仿宋_GB2312"/>
          <w:sz w:val="32"/>
          <w:szCs w:val="32"/>
        </w:rPr>
      </w:pPr>
      <w:r>
        <w:rPr>
          <w:rFonts w:hint="eastAsia" w:ascii="楷体_GB2312" w:hAnsi="楷体_GB2312" w:eastAsia="楷体_GB2312" w:cs="楷体_GB2312"/>
          <w:b/>
          <w:bCs/>
          <w:spacing w:val="1"/>
          <w:sz w:val="32"/>
          <w:szCs w:val="32"/>
        </w:rPr>
        <w:t>（二）以勤俭办事为引领，探索降本增效路径。</w:t>
      </w:r>
      <w:r>
        <w:rPr>
          <w:rFonts w:hint="eastAsia" w:ascii="仿宋_GB2312" w:hAnsi="仿宋_GB2312" w:eastAsia="仿宋_GB2312" w:cs="仿宋_GB2312"/>
          <w:b/>
          <w:bCs/>
          <w:spacing w:val="1"/>
          <w:sz w:val="32"/>
          <w:szCs w:val="32"/>
        </w:rPr>
        <w:t>一是</w:t>
      </w:r>
      <w:r>
        <w:rPr>
          <w:rFonts w:hint="eastAsia" w:ascii="仿宋_GB2312" w:hAnsi="仿宋_GB2312" w:eastAsia="仿宋_GB2312" w:cs="仿宋_GB2312"/>
          <w:spacing w:val="1"/>
          <w:sz w:val="32"/>
          <w:szCs w:val="32"/>
        </w:rPr>
        <w:t>坚持严控成本，持续深化“过紧日子”要求。抓紧抓牢“勤俭办一切事业”发展为主题，科学降低住建局各类采购成本，截止目前累计采购办公用品8200余件、办公耗材600余件</w:t>
      </w:r>
      <w:r>
        <w:rPr>
          <w:rFonts w:hint="eastAsia" w:ascii="仿宋_GB2312" w:hAnsi="仿宋_GB2312" w:eastAsia="仿宋_GB2312" w:cs="仿宋_GB2312"/>
          <w:sz w:val="32"/>
          <w:szCs w:val="32"/>
        </w:rPr>
        <w:t>需求同比增长7.9%和26.1%；</w:t>
      </w:r>
      <w:r>
        <w:rPr>
          <w:rFonts w:hint="eastAsia" w:ascii="仿宋_GB2312" w:hAnsi="仿宋_GB2312" w:eastAsia="仿宋_GB2312" w:cs="仿宋_GB2312"/>
          <w:spacing w:val="-11"/>
          <w:sz w:val="32"/>
          <w:szCs w:val="32"/>
        </w:rPr>
        <w:t>采购成本分别15.43万元</w:t>
      </w:r>
      <w:r>
        <w:rPr>
          <w:rFonts w:hint="eastAsia" w:ascii="仿宋_GB2312" w:hAnsi="仿宋_GB2312" w:eastAsia="仿宋_GB2312" w:cs="仿宋_GB2312"/>
          <w:sz w:val="32"/>
          <w:szCs w:val="32"/>
        </w:rPr>
        <w:t>、30.3万元同比降低20.8%和15.7%；</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对供热机组循环泵做贝尔佐纳涂层修复，相较更换循环泵节约4-7万元。维修空调机组时采用带压安装作业方式更换油管，节约冷媒24瓶约1.6万元；</w:t>
      </w:r>
      <w:r>
        <w:rPr>
          <w:rFonts w:hint="eastAsia" w:ascii="仿宋_GB2312" w:hAnsi="仿宋_GB2312" w:eastAsia="仿宋_GB2312" w:cs="仿宋_GB2312"/>
          <w:b/>
          <w:bCs/>
          <w:spacing w:val="1"/>
          <w:sz w:val="32"/>
          <w:szCs w:val="32"/>
        </w:rPr>
        <w:t>三是</w:t>
      </w:r>
      <w:r>
        <w:rPr>
          <w:rFonts w:hint="eastAsia" w:ascii="仿宋_GB2312" w:hAnsi="仿宋_GB2312" w:eastAsia="仿宋_GB2312" w:cs="仿宋_GB2312"/>
          <w:spacing w:val="1"/>
          <w:sz w:val="32"/>
          <w:szCs w:val="32"/>
        </w:rPr>
        <w:t>践行绿色理念，在公共机关节能上下功夫，组织完成2024年公共机构能源资源消耗数据上报工作并对能耗进行指标管理，建设“低碳”机关。通过多种形式组织开展2024年节能宣传周宣传工作。</w:t>
      </w:r>
      <w:r>
        <w:rPr>
          <w:rFonts w:hint="eastAsia" w:ascii="仿宋_GB2312" w:hAnsi="仿宋_GB2312" w:eastAsia="仿宋_GB2312" w:cs="仿宋_GB2312"/>
          <w:sz w:val="32"/>
          <w:szCs w:val="32"/>
        </w:rPr>
        <w:t>在我局办公楼东侧新增6座充电桩，助力机关减碳行动；</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编制包头市住建局创建国家节约型机关示范单位复审报告，完成内蒙古自治区创建示范单位申报系统的申报，现已通过国家节约型机关创建复审工作；</w:t>
      </w:r>
      <w:r>
        <w:rPr>
          <w:rFonts w:hint="eastAsia" w:ascii="仿宋_GB2312" w:hAnsi="仿宋_GB2312" w:eastAsia="仿宋_GB2312" w:cs="仿宋_GB2312"/>
          <w:b/>
          <w:bCs/>
          <w:spacing w:val="1"/>
          <w:sz w:val="32"/>
          <w:szCs w:val="32"/>
        </w:rPr>
        <w:t>五是</w:t>
      </w:r>
      <w:r>
        <w:rPr>
          <w:rFonts w:hint="eastAsia" w:ascii="仿宋_GB2312" w:hAnsi="仿宋_GB2312" w:eastAsia="仿宋_GB2312" w:cs="仿宋_GB2312"/>
          <w:spacing w:val="1"/>
          <w:sz w:val="32"/>
          <w:szCs w:val="32"/>
        </w:rPr>
        <w:t>打造文明餐桌，倡导干部职工按需取餐，通过更换就餐刷脸系统打造智慧化食堂管理新模式，有效避免非本单位员工就餐，同时能实时掌握就餐人次，减少排队提升效率。</w:t>
      </w:r>
    </w:p>
    <w:p w14:paraId="6A265D82">
      <w:pPr>
        <w:spacing w:line="540" w:lineRule="exact"/>
        <w:ind w:firstLine="647" w:firstLineChars="200"/>
        <w:rPr>
          <w:rFonts w:ascii="仿宋_GB2312" w:hAnsi="方正小标宋简体" w:eastAsia="仿宋_GB2312" w:cs="方正小标宋简体"/>
          <w:sz w:val="32"/>
          <w:szCs w:val="32"/>
        </w:rPr>
      </w:pPr>
      <w:r>
        <w:rPr>
          <w:rFonts w:hint="eastAsia" w:ascii="楷体_GB2312" w:hAnsi="楷体_GB2312" w:eastAsia="楷体_GB2312" w:cs="楷体_GB2312"/>
          <w:b/>
          <w:bCs/>
          <w:spacing w:val="1"/>
          <w:sz w:val="32"/>
          <w:szCs w:val="32"/>
        </w:rPr>
        <w:t>（三）以精致服务为目标，推动后勤保障提质。</w:t>
      </w:r>
      <w:r>
        <w:rPr>
          <w:rFonts w:hint="eastAsia" w:ascii="仿宋_GB2312" w:hAnsi="仿宋_GB2312" w:eastAsia="仿宋_GB2312" w:cs="仿宋_GB2312"/>
          <w:b/>
          <w:bCs/>
          <w:spacing w:val="1"/>
          <w:sz w:val="32"/>
          <w:szCs w:val="32"/>
        </w:rPr>
        <w:t>一是</w:t>
      </w:r>
      <w:r>
        <w:rPr>
          <w:rFonts w:hint="eastAsia" w:ascii="仿宋_GB2312" w:hAnsi="仿宋_GB2312" w:eastAsia="仿宋_GB2312" w:cs="仿宋_GB2312"/>
          <w:spacing w:val="1"/>
          <w:sz w:val="32"/>
          <w:szCs w:val="32"/>
        </w:rPr>
        <w:t>强化接待能力。开展会服人员职业培训，在礼仪、会议接待等细节上不断推陈出新，推进接待工作实现新提高。截止目前已保障我局大型会议（80人以上）38场，中型会议（30人-80人）84场，小型会议（30人以下）631场；</w:t>
      </w:r>
      <w:r>
        <w:rPr>
          <w:rFonts w:hint="eastAsia" w:ascii="仿宋_GB2312" w:hAnsi="仿宋_GB2312" w:eastAsia="仿宋_GB2312" w:cs="仿宋_GB2312"/>
          <w:b/>
          <w:bCs/>
          <w:spacing w:val="1"/>
          <w:sz w:val="32"/>
          <w:szCs w:val="32"/>
        </w:rPr>
        <w:t>二是</w:t>
      </w:r>
      <w:r>
        <w:rPr>
          <w:rFonts w:hint="eastAsia" w:ascii="仿宋_GB2312" w:hAnsi="仿宋_GB2312" w:eastAsia="仿宋_GB2312" w:cs="仿宋_GB2312"/>
          <w:spacing w:val="1"/>
          <w:sz w:val="32"/>
          <w:szCs w:val="32"/>
        </w:rPr>
        <w:t>加强日常维保，为局机关营造放心办公环境。</w:t>
      </w:r>
      <w:r>
        <w:rPr>
          <w:rFonts w:hint="eastAsia" w:ascii="仿宋_GB2312" w:hAnsi="仿宋_GB2312" w:eastAsia="仿宋_GB2312" w:cs="仿宋_GB2312"/>
          <w:sz w:val="32"/>
          <w:szCs w:val="32"/>
        </w:rPr>
        <w:t>组织完成安全隐患排查12次，对餐厅后厨的电路、燃气管道、设备进行维修保养，确保办公楼安全正常运行。</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强化公务出行用车统一调度，全面做好服务工作，协调机关公务用车出行工作，保证车辆及时到位；</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持续做好机关文印工作，及时完成好急件密件的处理，全年完成局机关各类文件会议材料约2700件。</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稳步推进局机关、局属各单位办公用房权属统一登记工作，今年配合包头市财政局完成青松小区房屋资产化债工作，配合包头市国安局完成幸福路4号街坊房产过户工作；</w:t>
      </w:r>
      <w:r>
        <w:rPr>
          <w:rFonts w:hint="eastAsia" w:ascii="仿宋_GB2312" w:hAnsi="仿宋_GB2312" w:eastAsia="仿宋_GB2312" w:cs="仿宋_GB2312"/>
          <w:b/>
          <w:bCs/>
          <w:sz w:val="32"/>
          <w:szCs w:val="32"/>
        </w:rPr>
        <w:t>六是</w:t>
      </w:r>
      <w:r>
        <w:rPr>
          <w:rFonts w:hint="eastAsia" w:ascii="仿宋_GB2312" w:hAnsi="仿宋_GB2312" w:eastAsia="仿宋_GB2312" w:cs="仿宋_GB2312"/>
          <w:sz w:val="32"/>
          <w:szCs w:val="32"/>
        </w:rPr>
        <w:t>摸清资产家底，目前共盘点局机关资产1500件，回收电脑21台。</w:t>
      </w:r>
      <w:r>
        <w:rPr>
          <w:rFonts w:hint="eastAsia" w:ascii="仿宋_GB2312" w:hAnsi="仿宋_GB2312" w:eastAsia="仿宋_GB2312" w:cs="仿宋_GB2312"/>
          <w:b/>
          <w:bCs/>
          <w:sz w:val="32"/>
          <w:szCs w:val="32"/>
        </w:rPr>
        <w:t>七是</w:t>
      </w:r>
      <w:r>
        <w:rPr>
          <w:rFonts w:hint="eastAsia" w:ascii="仿宋_GB2312" w:hAnsi="仿宋_GB2312" w:eastAsia="仿宋_GB2312" w:cs="仿宋_GB2312"/>
          <w:sz w:val="32"/>
          <w:szCs w:val="32"/>
        </w:rPr>
        <w:t>不断完善档案管理工作。组织开展档案三合一制度的相关培训，为后期档案“三合一”制度推进工作奠定基础。整理入库综合行政执法支队档案8057盒共7874卷。整理修改原房管历年各类档案</w:t>
      </w:r>
      <w:r>
        <w:rPr>
          <w:rFonts w:hint="eastAsia" w:ascii="仿宋_GB2312" w:hAnsi="方正小标宋简体" w:eastAsia="仿宋_GB2312" w:cs="方正小标宋简体"/>
          <w:sz w:val="32"/>
          <w:szCs w:val="32"/>
        </w:rPr>
        <w:t>目录5027条，并重新扫描修改2017-2018年档案目录2633条。</w:t>
      </w:r>
    </w:p>
    <w:p w14:paraId="4111239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（四）以筑牢安全为重点，推进平安机关建设。一是</w:t>
      </w:r>
      <w:r>
        <w:rPr>
          <w:rFonts w:hint="eastAsia" w:ascii="仿宋_GB2312" w:hAnsi="仿宋_GB2312" w:eastAsia="仿宋_GB2312" w:cs="仿宋_GB2312"/>
          <w:color w:val="000000"/>
          <w:sz w:val="32"/>
          <w:szCs w:val="32"/>
        </w:rPr>
        <w:t>做好安全隐患排查工作。实行24小时驻楼驻守制，</w:t>
      </w:r>
      <w:r>
        <w:rPr>
          <w:rFonts w:hint="eastAsia" w:ascii="仿宋_GB2312" w:hAnsi="仿宋_GB2312" w:eastAsia="仿宋_GB2312" w:cs="仿宋_GB2312"/>
          <w:sz w:val="32"/>
          <w:szCs w:val="32"/>
        </w:rPr>
        <w:t>以保障机关大楼安全有序运行为工作重点，与物业公司定期开展专项检查活动</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z w:val="32"/>
          <w:szCs w:val="32"/>
        </w:rPr>
        <w:t>全年进行安全隐患排查16次，消防应急演练1次。</w:t>
      </w:r>
      <w:r>
        <w:rPr>
          <w:rFonts w:hint="eastAsia" w:ascii="仿宋_GB2312" w:hAnsi="仿宋_GB2312" w:eastAsia="仿宋_GB2312" w:cs="仿宋_GB2312"/>
          <w:b/>
          <w:bCs/>
          <w:spacing w:val="-6"/>
          <w:sz w:val="32"/>
          <w:szCs w:val="32"/>
        </w:rPr>
        <w:t>二是</w:t>
      </w:r>
      <w:r>
        <w:rPr>
          <w:rFonts w:hint="eastAsia" w:ascii="仿宋_GB2312" w:hAnsi="仿宋_GB2312" w:eastAsia="仿宋_GB2312" w:cs="仿宋_GB2312"/>
          <w:color w:val="000000"/>
          <w:kern w:val="0"/>
          <w:sz w:val="32"/>
          <w:szCs w:val="32"/>
        </w:rPr>
        <w:t>做好设施设备维护维修工作。</w:t>
      </w:r>
      <w:r>
        <w:rPr>
          <w:rFonts w:hint="eastAsia" w:ascii="仿宋_GB2312" w:hAnsi="仿宋_GB2312" w:eastAsia="仿宋_GB2312" w:cs="仿宋_GB2312"/>
          <w:kern w:val="0"/>
          <w:sz w:val="32"/>
          <w:szCs w:val="32"/>
        </w:rPr>
        <w:t>认真做好机关科室、驻楼单位日常水电、空调、供暖、办公电子设备、门窗、桌椅等管理修复服务。</w:t>
      </w:r>
      <w:r>
        <w:rPr>
          <w:rFonts w:hint="eastAsia" w:ascii="仿宋_GB2312" w:hAnsi="仿宋_GB2312" w:eastAsia="仿宋_GB2312" w:cs="仿宋_GB2312"/>
          <w:sz w:val="32"/>
          <w:szCs w:val="32"/>
        </w:rPr>
        <w:t>截止目前水电暖相关维修共计4002件，其余设备维修共计621件，响应率达100%。完成院内绿化亮化照</w:t>
      </w:r>
      <w:r>
        <w:rPr>
          <w:rFonts w:hint="eastAsia" w:ascii="仿宋_GB2312" w:hAnsi="仿宋_GB2312" w:eastAsia="仿宋_GB2312" w:cs="仿宋_GB2312"/>
          <w:color w:val="000000"/>
          <w:sz w:val="32"/>
          <w:szCs w:val="32"/>
        </w:rPr>
        <w:t>明、</w:t>
      </w:r>
      <w:r>
        <w:rPr>
          <w:rFonts w:hint="eastAsia" w:ascii="仿宋_GB2312" w:hAnsi="仿宋_GB2312" w:eastAsia="仿宋_GB2312" w:cs="仿宋_GB2312"/>
          <w:spacing w:val="-6"/>
          <w:sz w:val="32"/>
          <w:szCs w:val="32"/>
        </w:rPr>
        <w:t>高压配电室维保、直饮水改造以及七部电梯的年检维保等工作。</w:t>
      </w:r>
    </w:p>
    <w:p w14:paraId="0F5BD6BC">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黑体" w:hAnsi="黑体" w:eastAsia="黑体"/>
          <w:sz w:val="32"/>
          <w:szCs w:val="32"/>
        </w:rPr>
      </w:pPr>
      <w:r>
        <w:rPr>
          <w:rFonts w:hint="eastAsia" w:ascii="楷体_GB2312" w:hAnsi="楷体_GB2312" w:eastAsia="楷体_GB2312" w:cs="楷体_GB2312"/>
          <w:b/>
          <w:bCs/>
          <w:sz w:val="32"/>
          <w:szCs w:val="32"/>
        </w:rPr>
        <w:t>（五）以依法行政为基础，强化职工法治意识。</w:t>
      </w:r>
      <w:r>
        <w:rPr>
          <w:rFonts w:hint="eastAsia" w:ascii="仿宋_GB2312" w:hAnsi="仿宋_GB2312" w:eastAsia="仿宋_GB2312" w:cs="仿宋_GB2312"/>
          <w:bCs/>
          <w:sz w:val="32"/>
          <w:szCs w:val="32"/>
        </w:rPr>
        <w:t>认真贯彻落实</w:t>
      </w:r>
      <w:r>
        <w:rPr>
          <w:rFonts w:hint="eastAsia" w:ascii="仿宋_GB2312" w:hAnsi="仿宋_GB2312" w:eastAsia="仿宋_GB2312" w:cs="仿宋_GB2312"/>
          <w:sz w:val="32"/>
          <w:szCs w:val="32"/>
        </w:rPr>
        <w:t>党中央关于法治建设重大决策部署，按照局法规科有关工作要求，结合实际，组织</w:t>
      </w:r>
      <w:r>
        <w:rPr>
          <w:rFonts w:hint="eastAsia" w:ascii="仿宋_GB2312" w:hAnsi="仿宋" w:eastAsia="仿宋_GB2312" w:cs="仿宋"/>
          <w:sz w:val="32"/>
          <w:szCs w:val="32"/>
        </w:rPr>
        <w:t>开展普法学习4次、法律知识测试1次，参与“包头普法”法律法规知识考试2次。</w:t>
      </w:r>
    </w:p>
    <w:p w14:paraId="6BFB01C9">
      <w:pPr>
        <w:pStyle w:val="5"/>
        <w:keepNext w:val="0"/>
        <w:keepLines w:val="0"/>
        <w:widowControl/>
        <w:spacing w:before="0" w:after="0" w:line="578" w:lineRule="exact"/>
        <w:jc w:val="center"/>
        <w:rPr>
          <w:rFonts w:ascii="微软雅黑" w:hAnsi="微软雅黑" w:eastAsia="微软雅黑" w:cs="微软雅黑"/>
          <w:b w:val="0"/>
          <w:bCs w:val="0"/>
          <w:kern w:val="0"/>
          <w:sz w:val="36"/>
          <w:szCs w:val="36"/>
        </w:rPr>
      </w:pPr>
      <w:r>
        <w:rPr>
          <w:rFonts w:hint="eastAsia" w:ascii="微软雅黑" w:hAnsi="微软雅黑" w:eastAsia="微软雅黑" w:cs="微软雅黑"/>
          <w:b w:val="0"/>
          <w:bCs w:val="0"/>
          <w:kern w:val="0"/>
          <w:sz w:val="36"/>
          <w:szCs w:val="36"/>
        </w:rPr>
        <w:t>第二部分 部门（单位）决算情况说明</w:t>
      </w:r>
    </w:p>
    <w:p w14:paraId="28514CD9">
      <w:pPr>
        <w:widowControl/>
        <w:spacing w:line="578" w:lineRule="exact"/>
        <w:jc w:val="left"/>
        <w:rPr>
          <w:rFonts w:ascii="黑体" w:hAnsi="黑体" w:eastAsia="黑体" w:cs="黑体"/>
          <w:b/>
          <w:bCs/>
          <w:kern w:val="0"/>
          <w:sz w:val="32"/>
          <w:szCs w:val="32"/>
          <w:u w:val="none" w:color="auto"/>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w:t>
      </w:r>
    </w:p>
    <w:p w14:paraId="7FAC3300">
      <w:pPr>
        <w:widowControl/>
        <w:spacing w:line="578" w:lineRule="exact"/>
        <w:ind w:firstLine="643" w:firstLineChars="200"/>
        <w:jc w:val="left"/>
        <w:rPr>
          <w:rFonts w:eastAsia="Times New Roman"/>
          <w:kern w:val="0"/>
          <w:sz w:val="32"/>
          <w:szCs w:val="32"/>
          <w:u w:val="none" w:color="auto"/>
        </w:rPr>
      </w:pPr>
      <w:r>
        <w:rPr>
          <w:rFonts w:ascii="黑体" w:hAnsi="黑体" w:eastAsia="黑体" w:cs="黑体"/>
          <w:b/>
          <w:bCs/>
          <w:kern w:val="0"/>
          <w:sz w:val="32"/>
          <w:szCs w:val="32"/>
          <w:u w:val="none" w:color="auto"/>
        </w:rPr>
        <w:t>一、收入支出决算总体情况说明</w:t>
      </w:r>
    </w:p>
    <w:p w14:paraId="39DD0685">
      <w:pPr>
        <w:widowControl/>
        <w:spacing w:line="578" w:lineRule="exact"/>
        <w:rPr>
          <w:rFonts w:ascii="仿宋" w:hAnsi="仿宋" w:eastAsia="仿宋" w:cs="仿宋"/>
          <w:kern w:val="0"/>
          <w:sz w:val="32"/>
          <w:szCs w:val="32"/>
          <w:u w:val="none" w:color="auto"/>
        </w:rPr>
      </w:pPr>
      <w:r>
        <w:rPr>
          <w:rFonts w:ascii="仿宋_GB2312" w:hAnsi="仿宋_GB2312" w:eastAsia="仿宋_GB2312" w:cs="仿宋_GB2312"/>
          <w:kern w:val="0"/>
          <w:sz w:val="32"/>
          <w:szCs w:val="32"/>
          <w:u w:val="none" w:color="auto"/>
        </w:rPr>
        <w:t>   </w:t>
      </w:r>
      <w:r>
        <w:rPr>
          <w:rFonts w:ascii="仿宋_GB2312" w:hAnsi="仿宋_GB2312" w:eastAsia="仿宋_GB2312" w:cs="仿宋_GB2312"/>
          <w:color w:val="000000"/>
          <w:kern w:val="0"/>
          <w:sz w:val="32"/>
          <w:szCs w:val="32"/>
          <w:u w:val="none" w:color="auto"/>
        </w:rPr>
        <w:t> </w:t>
      </w:r>
      <w:r>
        <w:rPr>
          <w:rFonts w:hint="eastAsia" w:ascii="仿宋" w:hAnsi="仿宋" w:eastAsia="仿宋" w:cs="仿宋"/>
          <w:color w:val="000000"/>
          <w:kern w:val="0"/>
          <w:sz w:val="32"/>
          <w:szCs w:val="32"/>
          <w:u w:val="none" w:color="auto"/>
        </w:rPr>
        <w:t>内蒙古自治区包头市住房和城乡建设局综合保障中</w:t>
      </w:r>
      <w:r>
        <w:rPr>
          <w:rFonts w:hint="eastAsia" w:ascii="仿宋" w:hAnsi="仿宋" w:eastAsia="仿宋" w:cs="仿宋"/>
          <w:color w:val="000000"/>
          <w:kern w:val="0"/>
          <w:sz w:val="32"/>
          <w:szCs w:val="32"/>
          <w:u w:val="none" w:color="auto"/>
          <w:lang w:val="en-US" w:eastAsia="zh-CN"/>
        </w:rPr>
        <w:t>心</w:t>
      </w:r>
      <w:r>
        <w:rPr>
          <w:rFonts w:hint="eastAsia" w:ascii="仿宋" w:hAnsi="仿宋" w:eastAsia="仿宋" w:cs="仿宋"/>
          <w:color w:val="000000"/>
          <w:kern w:val="0"/>
          <w:sz w:val="32"/>
          <w:szCs w:val="32"/>
          <w:u w:val="none" w:color="auto"/>
        </w:rPr>
        <w:t>2024年度收入、支出决算总计均为 453.61万元。与年初预算相比，收、支总计各减少 54.72万元，下降 10.76%，变动原因：本年人员经费中取消艰苦边远地区补助工资基数减少；与上年决算相比，收、支总计各减少 33.19万元，下降 6.82%。其中：</w:t>
      </w:r>
    </w:p>
    <w:p w14:paraId="4F795C7F">
      <w:pPr>
        <w:widowControl/>
        <w:spacing w:line="578" w:lineRule="exact"/>
        <w:jc w:val="left"/>
        <w:rPr>
          <w:rFonts w:ascii="楷体" w:hAnsi="楷体" w:eastAsia="楷体" w:cs="楷体"/>
          <w:kern w:val="0"/>
          <w:sz w:val="32"/>
          <w:szCs w:val="32"/>
          <w:u w:val="none" w:color="auto"/>
        </w:rPr>
      </w:pPr>
      <w:r>
        <w:rPr>
          <w:rFonts w:ascii="kai_ti_gb2312" w:hAnsi="kai_ti_gb2312" w:eastAsia="kai_ti_gb2312" w:cs="kai_ti_gb2312"/>
          <w:b/>
          <w:bCs/>
          <w:color w:val="000000"/>
          <w:kern w:val="0"/>
          <w:sz w:val="32"/>
          <w:szCs w:val="32"/>
          <w:u w:val="none" w:color="auto"/>
        </w:rPr>
        <w:t xml:space="preserve">    </w:t>
      </w:r>
      <w:r>
        <w:rPr>
          <w:rFonts w:hint="eastAsia" w:ascii="楷体" w:hAnsi="楷体" w:eastAsia="楷体" w:cs="楷体"/>
          <w:b/>
          <w:bCs/>
          <w:color w:val="000000"/>
          <w:kern w:val="0"/>
          <w:sz w:val="32"/>
          <w:szCs w:val="32"/>
          <w:u w:val="none" w:color="auto"/>
        </w:rPr>
        <w:t>（一）收入决算总计 453.61万元。包括：</w:t>
      </w:r>
    </w:p>
    <w:p w14:paraId="01091B5A">
      <w:pPr>
        <w:widowControl/>
        <w:spacing w:line="578" w:lineRule="exact"/>
        <w:rPr>
          <w:rFonts w:ascii="仿宋" w:hAnsi="仿宋" w:eastAsia="仿宋" w:cs="仿宋"/>
          <w:kern w:val="0"/>
          <w:sz w:val="32"/>
          <w:szCs w:val="32"/>
          <w:u w:val="none" w:color="auto"/>
        </w:rPr>
      </w:pPr>
      <w:r>
        <w:rPr>
          <w:rFonts w:ascii="仿宋_GB2312" w:hAnsi="仿宋_GB2312" w:eastAsia="仿宋_GB2312" w:cs="仿宋_GB2312"/>
          <w:color w:val="000000"/>
          <w:kern w:val="0"/>
          <w:sz w:val="32"/>
          <w:szCs w:val="32"/>
          <w:u w:val="none" w:color="auto"/>
        </w:rPr>
        <w:t>   </w:t>
      </w:r>
      <w:r>
        <w:rPr>
          <w:rFonts w:hint="eastAsia" w:ascii="仿宋" w:hAnsi="仿宋" w:eastAsia="仿宋" w:cs="仿宋"/>
          <w:color w:val="000000"/>
          <w:kern w:val="0"/>
          <w:sz w:val="32"/>
          <w:szCs w:val="32"/>
          <w:u w:val="none" w:color="auto"/>
        </w:rPr>
        <w:t xml:space="preserve"> 1.本年收入决算合计 449.88万元。与上年决算相比，减少33.07万元，下降6.85%，变动原因：本年人员经费中取消艰苦边远地区补助工资基数减少。</w:t>
      </w:r>
    </w:p>
    <w:p w14:paraId="0805E10C">
      <w:pPr>
        <w:widowControl/>
        <w:spacing w:line="578" w:lineRule="exact"/>
        <w:rPr>
          <w:rFonts w:ascii="仿宋" w:hAnsi="仿宋" w:eastAsia="仿宋" w:cs="仿宋"/>
          <w:kern w:val="0"/>
          <w:sz w:val="32"/>
          <w:szCs w:val="32"/>
          <w:u w:val="none" w:color="auto"/>
        </w:rPr>
      </w:pPr>
      <w:r>
        <w:rPr>
          <w:rFonts w:hint="eastAsia" w:ascii="仿宋" w:hAnsi="仿宋" w:eastAsia="仿宋" w:cs="仿宋"/>
          <w:color w:val="000000"/>
          <w:kern w:val="0"/>
          <w:sz w:val="32"/>
          <w:szCs w:val="32"/>
          <w:u w:val="none" w:color="auto"/>
        </w:rPr>
        <w:t>    2.使用非财政拨款结余（含专用结余）0万元。与上年决算相比，增加（减少） 0万元，增长（下降） 0%，变动原因：不存在此项内容。</w:t>
      </w:r>
    </w:p>
    <w:p w14:paraId="0483F337">
      <w:pPr>
        <w:widowControl/>
        <w:spacing w:line="578" w:lineRule="exact"/>
        <w:rPr>
          <w:rFonts w:ascii="仿宋" w:hAnsi="仿宋" w:eastAsia="仿宋" w:cs="仿宋"/>
          <w:kern w:val="0"/>
          <w:sz w:val="32"/>
          <w:szCs w:val="32"/>
          <w:u w:val="none" w:color="auto"/>
        </w:rPr>
      </w:pPr>
      <w:r>
        <w:rPr>
          <w:rFonts w:hint="eastAsia" w:ascii="仿宋" w:hAnsi="仿宋" w:eastAsia="仿宋" w:cs="仿宋"/>
          <w:color w:val="000000"/>
          <w:kern w:val="0"/>
          <w:sz w:val="32"/>
          <w:szCs w:val="32"/>
          <w:u w:val="none" w:color="auto"/>
        </w:rPr>
        <w:t>    3.年初结转和结余 3.73万元。与上年决算相比，减少 0.12万元，下降 3.05%，变动原因：上年结转资金按需支付。</w:t>
      </w:r>
    </w:p>
    <w:p w14:paraId="3582FD21">
      <w:pPr>
        <w:widowControl/>
        <w:spacing w:line="578" w:lineRule="exact"/>
        <w:jc w:val="left"/>
        <w:rPr>
          <w:rFonts w:ascii="楷体" w:hAnsi="楷体" w:eastAsia="楷体" w:cs="楷体"/>
          <w:kern w:val="0"/>
          <w:sz w:val="32"/>
          <w:szCs w:val="32"/>
          <w:u w:val="none" w:color="auto"/>
        </w:rPr>
      </w:pPr>
      <w:r>
        <w:rPr>
          <w:rFonts w:ascii="kai_ti_gb2312" w:hAnsi="kai_ti_gb2312" w:eastAsia="kai_ti_gb2312" w:cs="kai_ti_gb2312"/>
          <w:b/>
          <w:bCs/>
          <w:color w:val="000000"/>
          <w:kern w:val="0"/>
          <w:sz w:val="32"/>
          <w:szCs w:val="32"/>
          <w:u w:val="none" w:color="auto"/>
        </w:rPr>
        <w:t xml:space="preserve">    </w:t>
      </w:r>
      <w:r>
        <w:rPr>
          <w:rFonts w:hint="eastAsia" w:ascii="楷体" w:hAnsi="楷体" w:eastAsia="楷体" w:cs="楷体"/>
          <w:b/>
          <w:bCs/>
          <w:color w:val="000000"/>
          <w:kern w:val="0"/>
          <w:sz w:val="32"/>
          <w:szCs w:val="32"/>
          <w:u w:val="none" w:color="auto"/>
        </w:rPr>
        <w:t>（二）支出决算总计 453.61万元。包括：</w:t>
      </w:r>
    </w:p>
    <w:p w14:paraId="0844501C">
      <w:pPr>
        <w:widowControl/>
        <w:spacing w:line="578" w:lineRule="exact"/>
        <w:rPr>
          <w:rFonts w:ascii="仿宋" w:hAnsi="仿宋" w:eastAsia="仿宋" w:cs="仿宋"/>
          <w:kern w:val="0"/>
          <w:sz w:val="32"/>
          <w:szCs w:val="32"/>
          <w:u w:val="none" w:color="auto"/>
        </w:rPr>
      </w:pPr>
      <w:r>
        <w:rPr>
          <w:rFonts w:hint="eastAsia" w:ascii="仿宋" w:hAnsi="仿宋" w:eastAsia="仿宋" w:cs="仿宋"/>
          <w:color w:val="000000"/>
          <w:kern w:val="0"/>
          <w:sz w:val="32"/>
          <w:szCs w:val="32"/>
          <w:u w:val="none" w:color="auto"/>
        </w:rPr>
        <w:t>    1.本年支出决算合计 449.84万元。与上年决算相比，减少 33.23万元，下降 6.88%，变动原因：本年人员经费中取消艰苦边远地区补助工资基数减少。</w:t>
      </w:r>
    </w:p>
    <w:p w14:paraId="0320A604">
      <w:pPr>
        <w:widowControl/>
        <w:spacing w:line="578" w:lineRule="exact"/>
        <w:rPr>
          <w:rFonts w:ascii="仿宋" w:hAnsi="仿宋" w:eastAsia="仿宋" w:cs="仿宋"/>
          <w:kern w:val="0"/>
          <w:sz w:val="32"/>
          <w:szCs w:val="32"/>
          <w:u w:val="none" w:color="auto"/>
        </w:rPr>
      </w:pPr>
      <w:r>
        <w:rPr>
          <w:rFonts w:hint="eastAsia" w:ascii="仿宋" w:hAnsi="仿宋" w:eastAsia="仿宋" w:cs="仿宋"/>
          <w:color w:val="000000"/>
          <w:kern w:val="0"/>
          <w:sz w:val="32"/>
          <w:szCs w:val="32"/>
          <w:u w:val="none" w:color="auto"/>
        </w:rPr>
        <w:t>    2.结余分配 0万元。结余分配事项：不存在此项内容。与上年决算相比，增加（减少） 0万元，增长（下降） 0%，变动原因：不存在此项内容。</w:t>
      </w:r>
    </w:p>
    <w:p w14:paraId="63BC93E0">
      <w:pPr>
        <w:widowControl/>
        <w:spacing w:line="578" w:lineRule="exact"/>
        <w:rPr>
          <w:rFonts w:eastAsia="Times New Roman"/>
          <w:kern w:val="0"/>
          <w:sz w:val="32"/>
          <w:szCs w:val="32"/>
          <w:u w:val="none" w:color="auto"/>
        </w:rPr>
      </w:pPr>
      <w:r>
        <w:rPr>
          <w:rFonts w:ascii="仿宋_GB2312" w:hAnsi="仿宋_GB2312" w:eastAsia="仿宋_GB2312" w:cs="仿宋_GB2312"/>
          <w:color w:val="000000"/>
          <w:kern w:val="0"/>
          <w:sz w:val="32"/>
          <w:szCs w:val="32"/>
          <w:u w:val="none" w:color="auto"/>
        </w:rPr>
        <w:t xml:space="preserve">  </w:t>
      </w:r>
      <w:r>
        <w:rPr>
          <w:rFonts w:hint="eastAsia" w:ascii="仿宋" w:hAnsi="仿宋" w:eastAsia="仿宋" w:cs="仿宋"/>
          <w:color w:val="000000"/>
          <w:kern w:val="0"/>
          <w:sz w:val="32"/>
          <w:szCs w:val="32"/>
          <w:u w:val="none" w:color="auto"/>
        </w:rPr>
        <w:t>  3.年末结转和结余 3.77万元。结转和结余事项：以前年度结转资金3.64万元，本年度结转住房公积金0.13万元。与上年决算相比，增加 0.04万元，增长 1.09%，变动原因：本年新入职人员住房公积金划转未完结，部分住房公积金未支付。</w:t>
      </w:r>
    </w:p>
    <w:p w14:paraId="52BEBC86">
      <w:pPr>
        <w:widowControl/>
        <w:spacing w:line="578" w:lineRule="exact"/>
        <w:jc w:val="left"/>
        <w:rPr>
          <w:rFonts w:eastAsia="Times New Roman"/>
          <w:kern w:val="0"/>
          <w:sz w:val="32"/>
          <w:szCs w:val="32"/>
          <w:u w:val="none" w:color="auto"/>
        </w:rPr>
      </w:pPr>
      <w:r>
        <w:rPr>
          <w:rFonts w:ascii="Calibri" w:hAnsi="Calibri" w:eastAsia="Calibri" w:cs="Calibri"/>
          <w:b/>
          <w:bCs/>
          <w:kern w:val="0"/>
          <w:sz w:val="32"/>
          <w:szCs w:val="32"/>
          <w:u w:val="none" w:color="auto"/>
        </w:rPr>
        <w:t> </w:t>
      </w:r>
      <w:r>
        <w:rPr>
          <w:rFonts w:ascii="黑体" w:hAnsi="黑体" w:eastAsia="黑体" w:cs="黑体"/>
          <w:b/>
          <w:bCs/>
          <w:kern w:val="0"/>
          <w:sz w:val="32"/>
          <w:szCs w:val="32"/>
          <w:u w:val="none" w:color="auto"/>
        </w:rPr>
        <w:t xml:space="preserve"> </w:t>
      </w:r>
      <w:r>
        <w:rPr>
          <w:rFonts w:ascii="Calibri" w:hAnsi="Calibri" w:eastAsia="Calibri" w:cs="Calibri"/>
          <w:b/>
          <w:bCs/>
          <w:kern w:val="0"/>
          <w:sz w:val="32"/>
          <w:szCs w:val="32"/>
          <w:u w:val="none" w:color="auto"/>
        </w:rPr>
        <w:t> </w:t>
      </w:r>
      <w:r>
        <w:rPr>
          <w:rFonts w:ascii="黑体" w:hAnsi="黑体" w:eastAsia="黑体" w:cs="黑体"/>
          <w:b/>
          <w:bCs/>
          <w:kern w:val="0"/>
          <w:sz w:val="32"/>
          <w:szCs w:val="32"/>
          <w:u w:val="none" w:color="auto"/>
        </w:rPr>
        <w:t xml:space="preserve"> 二、收入决算情况说明</w:t>
      </w:r>
    </w:p>
    <w:p w14:paraId="20A5509E">
      <w:pPr>
        <w:widowControl/>
        <w:spacing w:line="578" w:lineRule="exact"/>
        <w:rPr>
          <w:rFonts w:ascii="仿宋" w:hAnsi="仿宋" w:eastAsia="仿宋" w:cs="仿宋"/>
          <w:kern w:val="0"/>
          <w:sz w:val="32"/>
          <w:szCs w:val="32"/>
          <w:u w:val="none" w:color="auto"/>
        </w:rPr>
      </w:pPr>
      <w:r>
        <w:rPr>
          <w:rFonts w:ascii="仿宋_GB2312" w:hAnsi="仿宋_GB2312" w:eastAsia="仿宋_GB2312" w:cs="仿宋_GB2312"/>
          <w:kern w:val="0"/>
          <w:sz w:val="32"/>
          <w:szCs w:val="32"/>
          <w:u w:val="none" w:color="auto"/>
        </w:rPr>
        <w:t xml:space="preserve">  </w:t>
      </w:r>
      <w:r>
        <w:rPr>
          <w:rFonts w:hint="eastAsia" w:ascii="仿宋" w:hAnsi="仿宋" w:eastAsia="仿宋" w:cs="仿宋"/>
          <w:kern w:val="0"/>
          <w:sz w:val="32"/>
          <w:szCs w:val="32"/>
          <w:u w:val="none" w:color="auto"/>
        </w:rPr>
        <w:t xml:space="preserve">  </w:t>
      </w:r>
      <w:r>
        <w:rPr>
          <w:rFonts w:hint="eastAsia" w:ascii="仿宋" w:hAnsi="仿宋" w:eastAsia="仿宋" w:cs="仿宋"/>
          <w:color w:val="000000"/>
          <w:kern w:val="0"/>
          <w:sz w:val="32"/>
          <w:szCs w:val="32"/>
          <w:u w:val="none" w:color="auto"/>
        </w:rPr>
        <w:t>内蒙古自治区包头市住房和城乡建设局综合保障中心 2024年度本年收入决算合计 449.88万元，其中：</w:t>
      </w:r>
    </w:p>
    <w:p w14:paraId="721CAE8A">
      <w:pPr>
        <w:widowControl/>
        <w:spacing w:line="578" w:lineRule="exact"/>
        <w:rPr>
          <w:rFonts w:ascii="仿宋" w:hAnsi="仿宋" w:eastAsia="仿宋" w:cs="仿宋"/>
          <w:kern w:val="0"/>
          <w:sz w:val="32"/>
          <w:szCs w:val="32"/>
          <w:u w:val="none" w:color="auto"/>
        </w:rPr>
      </w:pPr>
      <w:r>
        <w:rPr>
          <w:rFonts w:hint="eastAsia" w:ascii="仿宋" w:hAnsi="仿宋" w:eastAsia="仿宋" w:cs="仿宋"/>
          <w:color w:val="000000"/>
          <w:kern w:val="0"/>
          <w:sz w:val="32"/>
          <w:szCs w:val="32"/>
          <w:u w:val="none" w:color="auto"/>
        </w:rPr>
        <w:t>    本年一般公共预算财政拨款收入 449.84万元，占 99.99%；</w:t>
      </w:r>
    </w:p>
    <w:p w14:paraId="5A239F77">
      <w:pPr>
        <w:widowControl/>
        <w:spacing w:line="578" w:lineRule="exact"/>
        <w:rPr>
          <w:rFonts w:ascii="仿宋" w:hAnsi="仿宋" w:eastAsia="仿宋" w:cs="仿宋"/>
          <w:kern w:val="0"/>
          <w:sz w:val="32"/>
          <w:szCs w:val="32"/>
          <w:u w:val="none" w:color="auto"/>
        </w:rPr>
      </w:pPr>
      <w:r>
        <w:rPr>
          <w:rFonts w:hint="eastAsia" w:ascii="仿宋" w:hAnsi="仿宋" w:eastAsia="仿宋" w:cs="仿宋"/>
          <w:color w:val="000000"/>
          <w:kern w:val="0"/>
          <w:sz w:val="32"/>
          <w:szCs w:val="32"/>
          <w:u w:val="none" w:color="auto"/>
        </w:rPr>
        <w:t>    本年政府性基金预算财政拨款收入 0万元，占 0%；</w:t>
      </w:r>
    </w:p>
    <w:p w14:paraId="2E5DF0CD">
      <w:pPr>
        <w:widowControl/>
        <w:spacing w:line="578" w:lineRule="exact"/>
        <w:rPr>
          <w:rFonts w:ascii="仿宋" w:hAnsi="仿宋" w:eastAsia="仿宋" w:cs="仿宋"/>
          <w:kern w:val="0"/>
          <w:sz w:val="32"/>
          <w:szCs w:val="32"/>
          <w:u w:val="none" w:color="auto"/>
        </w:rPr>
      </w:pPr>
      <w:r>
        <w:rPr>
          <w:rFonts w:hint="eastAsia" w:ascii="仿宋" w:hAnsi="仿宋" w:eastAsia="仿宋" w:cs="仿宋"/>
          <w:color w:val="000000"/>
          <w:kern w:val="0"/>
          <w:sz w:val="32"/>
          <w:szCs w:val="32"/>
          <w:u w:val="none" w:color="auto"/>
        </w:rPr>
        <w:t>    本年国有资本经营预算财政拨款收入 0万元，占 0%；</w:t>
      </w:r>
    </w:p>
    <w:p w14:paraId="2CF0DE60">
      <w:pPr>
        <w:widowControl/>
        <w:spacing w:line="578" w:lineRule="exact"/>
        <w:rPr>
          <w:rFonts w:ascii="仿宋" w:hAnsi="仿宋" w:eastAsia="仿宋" w:cs="仿宋"/>
          <w:kern w:val="0"/>
          <w:sz w:val="32"/>
          <w:szCs w:val="32"/>
          <w:u w:val="none" w:color="auto"/>
        </w:rPr>
      </w:pPr>
      <w:r>
        <w:rPr>
          <w:rFonts w:hint="eastAsia" w:ascii="仿宋" w:hAnsi="仿宋" w:eastAsia="仿宋" w:cs="仿宋"/>
          <w:color w:val="000000"/>
          <w:kern w:val="0"/>
          <w:sz w:val="32"/>
          <w:szCs w:val="32"/>
          <w:u w:val="none" w:color="auto"/>
        </w:rPr>
        <w:t>    本年上级补助收入 0万元，占 0%；</w:t>
      </w:r>
    </w:p>
    <w:p w14:paraId="416A2DCC">
      <w:pPr>
        <w:widowControl/>
        <w:spacing w:line="578" w:lineRule="exact"/>
        <w:rPr>
          <w:rFonts w:ascii="仿宋" w:hAnsi="仿宋" w:eastAsia="仿宋" w:cs="仿宋"/>
          <w:kern w:val="0"/>
          <w:sz w:val="32"/>
          <w:szCs w:val="32"/>
          <w:u w:val="none" w:color="auto"/>
        </w:rPr>
      </w:pPr>
      <w:r>
        <w:rPr>
          <w:rFonts w:hint="eastAsia" w:ascii="仿宋" w:hAnsi="仿宋" w:eastAsia="仿宋" w:cs="仿宋"/>
          <w:color w:val="000000"/>
          <w:kern w:val="0"/>
          <w:sz w:val="32"/>
          <w:szCs w:val="32"/>
          <w:u w:val="none" w:color="auto"/>
        </w:rPr>
        <w:t>    本年事业收入 0万元，占 0%；</w:t>
      </w:r>
    </w:p>
    <w:p w14:paraId="6A6211B5">
      <w:pPr>
        <w:widowControl/>
        <w:spacing w:line="578" w:lineRule="exact"/>
        <w:rPr>
          <w:rFonts w:ascii="仿宋" w:hAnsi="仿宋" w:eastAsia="仿宋" w:cs="仿宋"/>
          <w:kern w:val="0"/>
          <w:sz w:val="32"/>
          <w:szCs w:val="32"/>
          <w:u w:val="none" w:color="auto"/>
        </w:rPr>
      </w:pPr>
      <w:r>
        <w:rPr>
          <w:rFonts w:hint="eastAsia" w:ascii="仿宋" w:hAnsi="仿宋" w:eastAsia="仿宋" w:cs="仿宋"/>
          <w:color w:val="000000"/>
          <w:kern w:val="0"/>
          <w:sz w:val="32"/>
          <w:szCs w:val="32"/>
          <w:u w:val="none" w:color="auto"/>
        </w:rPr>
        <w:t>    本年经营收入 0万元，占 0%；</w:t>
      </w:r>
    </w:p>
    <w:p w14:paraId="63FF066A">
      <w:pPr>
        <w:widowControl/>
        <w:spacing w:line="578" w:lineRule="exact"/>
        <w:rPr>
          <w:rFonts w:ascii="仿宋" w:hAnsi="仿宋" w:eastAsia="仿宋" w:cs="仿宋"/>
          <w:kern w:val="0"/>
          <w:sz w:val="32"/>
          <w:szCs w:val="32"/>
          <w:u w:val="none" w:color="auto"/>
        </w:rPr>
      </w:pPr>
      <w:r>
        <w:rPr>
          <w:rFonts w:hint="eastAsia" w:ascii="仿宋" w:hAnsi="仿宋" w:eastAsia="仿宋" w:cs="仿宋"/>
          <w:color w:val="000000"/>
          <w:kern w:val="0"/>
          <w:sz w:val="32"/>
          <w:szCs w:val="32"/>
          <w:u w:val="none" w:color="auto"/>
        </w:rPr>
        <w:t>    本年附属单位上缴收入 0万元，占 0%；</w:t>
      </w:r>
    </w:p>
    <w:p w14:paraId="26E0F1D6">
      <w:pPr>
        <w:widowControl/>
        <w:spacing w:line="578" w:lineRule="exact"/>
        <w:rPr>
          <w:rFonts w:ascii="仿宋" w:hAnsi="仿宋" w:eastAsia="仿宋" w:cs="仿宋"/>
          <w:color w:val="000000"/>
          <w:kern w:val="0"/>
          <w:sz w:val="32"/>
          <w:szCs w:val="32"/>
          <w:u w:val="none" w:color="auto"/>
        </w:rPr>
      </w:pPr>
      <w:r>
        <w:rPr>
          <w:rFonts w:hint="eastAsia" w:ascii="仿宋" w:hAnsi="仿宋" w:eastAsia="仿宋" w:cs="仿宋"/>
          <w:color w:val="000000"/>
          <w:kern w:val="0"/>
          <w:sz w:val="32"/>
          <w:szCs w:val="32"/>
          <w:u w:val="none" w:color="auto"/>
        </w:rPr>
        <w:t>本年其他收入 0.03万元，占 0.01%。</w:t>
      </w:r>
    </w:p>
    <w:p w14:paraId="74838756">
      <w:pPr>
        <w:pStyle w:val="2"/>
      </w:pPr>
    </w:p>
    <w:p w14:paraId="55B7DE84">
      <w:pPr>
        <w:pStyle w:val="2"/>
        <w:ind w:firstLine="640"/>
      </w:pPr>
      <w:r>
        <w:rPr>
          <w:rFonts w:eastAsia="Times New Roman"/>
          <w:kern w:val="0"/>
          <w:sz w:val="32"/>
          <w:szCs w:val="32"/>
        </w:rPr>
        <w:drawing>
          <wp:anchor distT="0" distB="0" distL="114300" distR="114300" simplePos="0" relativeHeight="251659264" behindDoc="0" locked="0" layoutInCell="1" allowOverlap="1">
            <wp:simplePos x="0" y="0"/>
            <wp:positionH relativeFrom="column">
              <wp:posOffset>298450</wp:posOffset>
            </wp:positionH>
            <wp:positionV relativeFrom="paragraph">
              <wp:posOffset>22860</wp:posOffset>
            </wp:positionV>
            <wp:extent cx="5429250" cy="3642995"/>
            <wp:effectExtent l="0" t="0" r="11430" b="1460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rcRect l="1027" t="-839" r="5499" b="473"/>
                    <a:stretch>
                      <a:fillRect/>
                    </a:stretch>
                  </pic:blipFill>
                  <pic:spPr>
                    <a:xfrm>
                      <a:off x="0" y="0"/>
                      <a:ext cx="5429250" cy="3642995"/>
                    </a:xfrm>
                    <a:prstGeom prst="rect">
                      <a:avLst/>
                    </a:prstGeom>
                    <a:noFill/>
                    <a:ln>
                      <a:noFill/>
                    </a:ln>
                  </pic:spPr>
                </pic:pic>
              </a:graphicData>
            </a:graphic>
          </wp:anchor>
        </w:drawing>
      </w:r>
    </w:p>
    <w:p w14:paraId="01EC56EF">
      <w:pPr>
        <w:pStyle w:val="2"/>
      </w:pPr>
    </w:p>
    <w:p w14:paraId="057F0B6F">
      <w:pPr>
        <w:pStyle w:val="2"/>
      </w:pPr>
    </w:p>
    <w:p w14:paraId="0176F297">
      <w:pPr>
        <w:pStyle w:val="2"/>
      </w:pPr>
    </w:p>
    <w:p w14:paraId="2EC0347D">
      <w:pPr>
        <w:pStyle w:val="2"/>
      </w:pPr>
    </w:p>
    <w:p w14:paraId="255DF149">
      <w:pPr>
        <w:pStyle w:val="2"/>
      </w:pPr>
    </w:p>
    <w:p w14:paraId="2FF340B4">
      <w:pPr>
        <w:pStyle w:val="2"/>
      </w:pPr>
    </w:p>
    <w:p w14:paraId="69D1F58B">
      <w:pPr>
        <w:pStyle w:val="2"/>
      </w:pPr>
    </w:p>
    <w:p w14:paraId="4BBECCBC">
      <w:pPr>
        <w:pStyle w:val="2"/>
      </w:pPr>
    </w:p>
    <w:p w14:paraId="3B37EC07">
      <w:pPr>
        <w:pStyle w:val="2"/>
      </w:pPr>
    </w:p>
    <w:p w14:paraId="13822A35">
      <w:pPr>
        <w:pStyle w:val="2"/>
      </w:pPr>
    </w:p>
    <w:p w14:paraId="77FC51FC">
      <w:pPr>
        <w:pStyle w:val="2"/>
      </w:pPr>
    </w:p>
    <w:p w14:paraId="23DD21B6">
      <w:pPr>
        <w:pStyle w:val="2"/>
      </w:pPr>
    </w:p>
    <w:p w14:paraId="3E03331D">
      <w:pPr>
        <w:pStyle w:val="2"/>
      </w:pPr>
    </w:p>
    <w:p w14:paraId="3D117B2A">
      <w:pPr>
        <w:pStyle w:val="2"/>
      </w:pPr>
    </w:p>
    <w:p w14:paraId="027426F1">
      <w:pPr>
        <w:pStyle w:val="2"/>
      </w:pPr>
    </w:p>
    <w:p w14:paraId="73AE2D9F">
      <w:pPr>
        <w:widowControl/>
        <w:spacing w:line="578" w:lineRule="exact"/>
        <w:ind w:firstLine="4160" w:firstLineChars="1300"/>
        <w:rPr>
          <w:rFonts w:eastAsia="Times New Roman"/>
          <w:kern w:val="0"/>
          <w:sz w:val="32"/>
          <w:szCs w:val="32"/>
        </w:rPr>
      </w:pPr>
      <w:r>
        <w:rPr>
          <w:rFonts w:ascii="仿宋_GB2312" w:hAnsi="仿宋_GB2312" w:eastAsia="仿宋_GB2312" w:cs="仿宋_GB2312"/>
          <w:kern w:val="0"/>
          <w:sz w:val="32"/>
          <w:szCs w:val="32"/>
        </w:rPr>
        <w:t>图</w:t>
      </w:r>
      <w:r>
        <w:rPr>
          <w:rFonts w:ascii="times_new_roman" w:hAnsi="times_new_roman" w:eastAsia="times_new_roman" w:cs="times_new_roman"/>
          <w:kern w:val="0"/>
          <w:sz w:val="32"/>
          <w:szCs w:val="32"/>
        </w:rPr>
        <w:t>1</w:t>
      </w:r>
      <w:r>
        <w:rPr>
          <w:rFonts w:ascii="仿宋_GB2312" w:hAnsi="仿宋_GB2312" w:eastAsia="仿宋_GB2312" w:cs="仿宋_GB2312"/>
          <w:kern w:val="0"/>
          <w:sz w:val="32"/>
          <w:szCs w:val="32"/>
        </w:rPr>
        <w:t>.收入决算图</w:t>
      </w:r>
    </w:p>
    <w:p w14:paraId="5178F9E1">
      <w:pPr>
        <w:widowControl/>
        <w:spacing w:line="578" w:lineRule="exact"/>
        <w:jc w:val="left"/>
        <w:rPr>
          <w:rFonts w:ascii="黑体" w:hAnsi="黑体" w:eastAsia="黑体" w:cs="黑体"/>
          <w:b/>
          <w:bCs/>
          <w:kern w:val="0"/>
          <w:sz w:val="32"/>
          <w:szCs w:val="32"/>
        </w:rPr>
      </w:pPr>
      <w:r>
        <w:rPr>
          <w:rFonts w:ascii="Calibri" w:hAnsi="Calibri" w:eastAsia="Calibri" w:cs="Calibri"/>
          <w:b/>
          <w:bCs/>
          <w:kern w:val="0"/>
          <w:sz w:val="32"/>
          <w:szCs w:val="32"/>
        </w:rPr>
        <w:t> </w:t>
      </w:r>
    </w:p>
    <w:p w14:paraId="00252712">
      <w:pPr>
        <w:widowControl/>
        <w:spacing w:line="578" w:lineRule="exact"/>
        <w:jc w:val="left"/>
        <w:rPr>
          <w:rFonts w:eastAsia="Times New Roman"/>
          <w:kern w:val="0"/>
          <w:sz w:val="32"/>
          <w:szCs w:val="32"/>
        </w:rPr>
      </w:pPr>
      <w:r>
        <w:rPr>
          <w:rFonts w:ascii="黑体" w:hAnsi="黑体" w:eastAsia="黑体" w:cs="黑体"/>
          <w:b/>
          <w:bCs/>
          <w:kern w:val="0"/>
          <w:sz w:val="32"/>
          <w:szCs w:val="32"/>
        </w:rPr>
        <w:t>三、支出决算情况说明</w:t>
      </w:r>
    </w:p>
    <w:p w14:paraId="095539FB">
      <w:pPr>
        <w:widowControl/>
        <w:spacing w:line="578" w:lineRule="exact"/>
        <w:rPr>
          <w:rFonts w:eastAsia="Times New Roman"/>
          <w:kern w:val="0"/>
          <w:sz w:val="32"/>
          <w:szCs w:val="32"/>
          <w:u w:val="none" w:color="auto"/>
        </w:rPr>
      </w:pPr>
      <w:r>
        <w:rPr>
          <w:rFonts w:ascii="仿宋_GB2312" w:hAnsi="仿宋_GB2312" w:eastAsia="仿宋_GB2312" w:cs="仿宋_GB2312"/>
          <w:kern w:val="0"/>
          <w:sz w:val="32"/>
          <w:szCs w:val="32"/>
        </w:rPr>
        <w:t xml:space="preserve">    </w:t>
      </w:r>
      <w:r>
        <w:rPr>
          <w:rFonts w:ascii="仿宋_GB2312" w:hAnsi="仿宋_GB2312" w:eastAsia="仿宋_GB2312" w:cs="仿宋_GB2312"/>
          <w:color w:val="000000"/>
          <w:kern w:val="0"/>
          <w:sz w:val="32"/>
          <w:szCs w:val="32"/>
        </w:rPr>
        <w:t>内蒙古自治区包头市住房和城乡建设局综合保障中心 2024年度本年支出决算合计</w:t>
      </w:r>
      <w:r>
        <w:rPr>
          <w:rFonts w:ascii="times_new_roman" w:hAnsi="times_new_roman" w:eastAsia="times_new_roman" w:cs="times_new_roman"/>
          <w:color w:val="000000"/>
          <w:kern w:val="0"/>
          <w:sz w:val="32"/>
          <w:szCs w:val="32"/>
          <w:u w:val="none" w:color="auto"/>
        </w:rPr>
        <w:t> 449.84</w:t>
      </w:r>
      <w:r>
        <w:rPr>
          <w:rFonts w:ascii="仿宋_GB2312" w:hAnsi="仿宋_GB2312" w:eastAsia="仿宋_GB2312" w:cs="仿宋_GB2312"/>
          <w:color w:val="000000"/>
          <w:kern w:val="0"/>
          <w:sz w:val="32"/>
          <w:szCs w:val="32"/>
          <w:u w:val="none" w:color="auto"/>
        </w:rPr>
        <w:t>万元，其中：</w:t>
      </w:r>
    </w:p>
    <w:p w14:paraId="1F541B41">
      <w:pPr>
        <w:widowControl/>
        <w:spacing w:line="578" w:lineRule="exact"/>
        <w:rPr>
          <w:rFonts w:eastAsia="Times New Roman"/>
          <w:kern w:val="0"/>
          <w:sz w:val="32"/>
          <w:szCs w:val="32"/>
          <w:u w:val="none" w:color="auto"/>
        </w:rPr>
      </w:pPr>
      <w:r>
        <w:rPr>
          <w:rFonts w:ascii="仿宋_GB2312" w:hAnsi="仿宋_GB2312" w:eastAsia="仿宋_GB2312" w:cs="仿宋_GB2312"/>
          <w:color w:val="000000"/>
          <w:kern w:val="0"/>
          <w:sz w:val="32"/>
          <w:szCs w:val="32"/>
          <w:u w:val="none" w:color="auto"/>
        </w:rPr>
        <w:t>    本年基本支出</w:t>
      </w:r>
      <w:r>
        <w:rPr>
          <w:rFonts w:ascii="times_new_roman" w:hAnsi="times_new_roman" w:eastAsia="times_new_roman" w:cs="times_new_roman"/>
          <w:color w:val="000000"/>
          <w:kern w:val="0"/>
          <w:sz w:val="32"/>
          <w:szCs w:val="32"/>
          <w:u w:val="none" w:color="auto"/>
        </w:rPr>
        <w:t> 448.24</w:t>
      </w:r>
      <w:r>
        <w:rPr>
          <w:rFonts w:ascii="仿宋_GB2312" w:hAnsi="仿宋_GB2312" w:eastAsia="仿宋_GB2312" w:cs="仿宋_GB2312"/>
          <w:color w:val="000000"/>
          <w:kern w:val="0"/>
          <w:sz w:val="32"/>
          <w:szCs w:val="32"/>
          <w:u w:val="none" w:color="auto"/>
        </w:rPr>
        <w:t>万元，占</w:t>
      </w:r>
      <w:r>
        <w:rPr>
          <w:rFonts w:ascii="times_new_roman" w:hAnsi="times_new_roman" w:eastAsia="times_new_roman" w:cs="times_new_roman"/>
          <w:color w:val="000000"/>
          <w:kern w:val="0"/>
          <w:sz w:val="32"/>
          <w:szCs w:val="32"/>
          <w:u w:val="none" w:color="auto"/>
        </w:rPr>
        <w:t> 99.65</w:t>
      </w:r>
      <w:r>
        <w:rPr>
          <w:rFonts w:ascii="仿宋_GB2312" w:hAnsi="仿宋_GB2312" w:eastAsia="仿宋_GB2312" w:cs="仿宋_GB2312"/>
          <w:color w:val="000000"/>
          <w:kern w:val="0"/>
          <w:sz w:val="32"/>
          <w:szCs w:val="32"/>
          <w:u w:val="none" w:color="auto"/>
        </w:rPr>
        <w:t>%；</w:t>
      </w:r>
    </w:p>
    <w:p w14:paraId="66D5F3CA">
      <w:pPr>
        <w:widowControl/>
        <w:spacing w:line="578" w:lineRule="exact"/>
        <w:rPr>
          <w:rFonts w:eastAsia="Times New Roman"/>
          <w:kern w:val="0"/>
          <w:sz w:val="32"/>
          <w:szCs w:val="32"/>
          <w:u w:val="none" w:color="auto"/>
        </w:rPr>
      </w:pPr>
      <w:r>
        <w:rPr>
          <w:rFonts w:ascii="仿宋_GB2312" w:hAnsi="仿宋_GB2312" w:eastAsia="仿宋_GB2312" w:cs="仿宋_GB2312"/>
          <w:color w:val="000000"/>
          <w:kern w:val="0"/>
          <w:sz w:val="32"/>
          <w:szCs w:val="32"/>
          <w:u w:val="none" w:color="auto"/>
        </w:rPr>
        <w:t>    本年项目支出</w:t>
      </w:r>
      <w:r>
        <w:rPr>
          <w:rFonts w:ascii="times_new_roman" w:hAnsi="times_new_roman" w:eastAsia="times_new_roman" w:cs="times_new_roman"/>
          <w:color w:val="000000"/>
          <w:kern w:val="0"/>
          <w:sz w:val="32"/>
          <w:szCs w:val="32"/>
          <w:u w:val="none" w:color="auto"/>
        </w:rPr>
        <w:t> 1.59</w:t>
      </w:r>
      <w:r>
        <w:rPr>
          <w:rFonts w:ascii="仿宋_GB2312" w:hAnsi="仿宋_GB2312" w:eastAsia="仿宋_GB2312" w:cs="仿宋_GB2312"/>
          <w:color w:val="000000"/>
          <w:kern w:val="0"/>
          <w:sz w:val="32"/>
          <w:szCs w:val="32"/>
          <w:u w:val="none" w:color="auto"/>
        </w:rPr>
        <w:t>万元，占</w:t>
      </w:r>
      <w:r>
        <w:rPr>
          <w:rFonts w:ascii="times_new_roman" w:hAnsi="times_new_roman" w:eastAsia="times_new_roman" w:cs="times_new_roman"/>
          <w:color w:val="000000"/>
          <w:kern w:val="0"/>
          <w:sz w:val="32"/>
          <w:szCs w:val="32"/>
          <w:u w:val="none" w:color="auto"/>
        </w:rPr>
        <w:t> 0.35</w:t>
      </w:r>
      <w:r>
        <w:rPr>
          <w:rFonts w:ascii="仿宋_GB2312" w:hAnsi="仿宋_GB2312" w:eastAsia="仿宋_GB2312" w:cs="仿宋_GB2312"/>
          <w:color w:val="000000"/>
          <w:kern w:val="0"/>
          <w:sz w:val="32"/>
          <w:szCs w:val="32"/>
          <w:u w:val="none" w:color="auto"/>
        </w:rPr>
        <w:t>%；</w:t>
      </w:r>
    </w:p>
    <w:p w14:paraId="5ADF8FBD">
      <w:pPr>
        <w:widowControl/>
        <w:spacing w:line="578" w:lineRule="exact"/>
        <w:rPr>
          <w:rFonts w:eastAsia="Times New Roman"/>
          <w:kern w:val="0"/>
          <w:sz w:val="32"/>
          <w:szCs w:val="32"/>
          <w:u w:val="none" w:color="auto"/>
        </w:rPr>
      </w:pPr>
      <w:r>
        <w:rPr>
          <w:rFonts w:ascii="仿宋_GB2312" w:hAnsi="仿宋_GB2312" w:eastAsia="仿宋_GB2312" w:cs="仿宋_GB2312"/>
          <w:color w:val="000000"/>
          <w:kern w:val="0"/>
          <w:sz w:val="32"/>
          <w:szCs w:val="32"/>
          <w:u w:val="none" w:color="auto"/>
        </w:rPr>
        <w:t>    本年上缴上级支出</w:t>
      </w:r>
      <w:r>
        <w:rPr>
          <w:rFonts w:ascii="times_new_roman" w:hAnsi="times_new_roman" w:eastAsia="times_new_roman" w:cs="times_new_roman"/>
          <w:color w:val="000000"/>
          <w:kern w:val="0"/>
          <w:sz w:val="32"/>
          <w:szCs w:val="32"/>
          <w:u w:val="none" w:color="auto"/>
        </w:rPr>
        <w:t> 0</w:t>
      </w:r>
      <w:r>
        <w:rPr>
          <w:rFonts w:ascii="仿宋_GB2312" w:hAnsi="仿宋_GB2312" w:eastAsia="仿宋_GB2312" w:cs="仿宋_GB2312"/>
          <w:color w:val="000000"/>
          <w:kern w:val="0"/>
          <w:sz w:val="32"/>
          <w:szCs w:val="32"/>
          <w:u w:val="none" w:color="auto"/>
        </w:rPr>
        <w:t>万元，占</w:t>
      </w:r>
      <w:r>
        <w:rPr>
          <w:rFonts w:ascii="times_new_roman" w:hAnsi="times_new_roman" w:eastAsia="times_new_roman" w:cs="times_new_roman"/>
          <w:color w:val="000000"/>
          <w:kern w:val="0"/>
          <w:sz w:val="32"/>
          <w:szCs w:val="32"/>
          <w:u w:val="none" w:color="auto"/>
        </w:rPr>
        <w:t> 0</w:t>
      </w:r>
      <w:r>
        <w:rPr>
          <w:rFonts w:ascii="仿宋_GB2312" w:hAnsi="仿宋_GB2312" w:eastAsia="仿宋_GB2312" w:cs="仿宋_GB2312"/>
          <w:color w:val="000000"/>
          <w:kern w:val="0"/>
          <w:sz w:val="32"/>
          <w:szCs w:val="32"/>
          <w:u w:val="none" w:color="auto"/>
        </w:rPr>
        <w:t>%；</w:t>
      </w:r>
    </w:p>
    <w:p w14:paraId="3A2A5E36">
      <w:pPr>
        <w:widowControl/>
        <w:spacing w:line="578" w:lineRule="exact"/>
        <w:rPr>
          <w:rFonts w:eastAsia="Times New Roman"/>
          <w:kern w:val="0"/>
          <w:sz w:val="32"/>
          <w:szCs w:val="32"/>
          <w:u w:val="none" w:color="auto"/>
        </w:rPr>
      </w:pPr>
      <w:r>
        <w:rPr>
          <w:rFonts w:ascii="仿宋_GB2312" w:hAnsi="仿宋_GB2312" w:eastAsia="仿宋_GB2312" w:cs="仿宋_GB2312"/>
          <w:color w:val="000000"/>
          <w:kern w:val="0"/>
          <w:sz w:val="32"/>
          <w:szCs w:val="32"/>
          <w:u w:val="none" w:color="auto"/>
        </w:rPr>
        <w:t>    本年经营支出</w:t>
      </w:r>
      <w:r>
        <w:rPr>
          <w:rFonts w:ascii="times_new_roman" w:hAnsi="times_new_roman" w:eastAsia="times_new_roman" w:cs="times_new_roman"/>
          <w:color w:val="000000"/>
          <w:kern w:val="0"/>
          <w:sz w:val="32"/>
          <w:szCs w:val="32"/>
          <w:u w:val="none" w:color="auto"/>
        </w:rPr>
        <w:t> 0</w:t>
      </w:r>
      <w:r>
        <w:rPr>
          <w:rFonts w:ascii="仿宋_GB2312" w:hAnsi="仿宋_GB2312" w:eastAsia="仿宋_GB2312" w:cs="仿宋_GB2312"/>
          <w:color w:val="000000"/>
          <w:kern w:val="0"/>
          <w:sz w:val="32"/>
          <w:szCs w:val="32"/>
          <w:u w:val="none" w:color="auto"/>
        </w:rPr>
        <w:t>万元，占</w:t>
      </w:r>
      <w:r>
        <w:rPr>
          <w:rFonts w:ascii="times_new_roman" w:hAnsi="times_new_roman" w:eastAsia="times_new_roman" w:cs="times_new_roman"/>
          <w:color w:val="000000"/>
          <w:kern w:val="0"/>
          <w:sz w:val="32"/>
          <w:szCs w:val="32"/>
          <w:u w:val="none" w:color="auto"/>
        </w:rPr>
        <w:t> 0</w:t>
      </w:r>
      <w:r>
        <w:rPr>
          <w:rFonts w:ascii="仿宋_GB2312" w:hAnsi="仿宋_GB2312" w:eastAsia="仿宋_GB2312" w:cs="仿宋_GB2312"/>
          <w:color w:val="000000"/>
          <w:kern w:val="0"/>
          <w:sz w:val="32"/>
          <w:szCs w:val="32"/>
          <w:u w:val="none" w:color="auto"/>
        </w:rPr>
        <w:t>%；</w:t>
      </w:r>
    </w:p>
    <w:p w14:paraId="088C632E">
      <w:pPr>
        <w:widowControl/>
        <w:spacing w:line="578" w:lineRule="exact"/>
        <w:rPr>
          <w:rFonts w:eastAsia="Times New Roman"/>
          <w:kern w:val="0"/>
          <w:sz w:val="32"/>
          <w:szCs w:val="32"/>
          <w:u w:val="none" w:color="auto"/>
        </w:rPr>
      </w:pPr>
      <w:r>
        <w:rPr>
          <w:rFonts w:ascii="仿宋_GB2312" w:hAnsi="仿宋_GB2312" w:eastAsia="仿宋_GB2312" w:cs="仿宋_GB2312"/>
          <w:color w:val="000000"/>
          <w:kern w:val="0"/>
          <w:sz w:val="32"/>
          <w:szCs w:val="32"/>
          <w:u w:val="none" w:color="auto"/>
        </w:rPr>
        <w:t>    本年对附属单位补助支出</w:t>
      </w:r>
      <w:r>
        <w:rPr>
          <w:rFonts w:ascii="times_new_roman" w:hAnsi="times_new_roman" w:eastAsia="times_new_roman" w:cs="times_new_roman"/>
          <w:color w:val="000000"/>
          <w:kern w:val="0"/>
          <w:sz w:val="32"/>
          <w:szCs w:val="32"/>
          <w:u w:val="none" w:color="auto"/>
        </w:rPr>
        <w:t> 0</w:t>
      </w:r>
      <w:r>
        <w:rPr>
          <w:rFonts w:ascii="仿宋_GB2312" w:hAnsi="仿宋_GB2312" w:eastAsia="仿宋_GB2312" w:cs="仿宋_GB2312"/>
          <w:color w:val="000000"/>
          <w:kern w:val="0"/>
          <w:sz w:val="32"/>
          <w:szCs w:val="32"/>
          <w:u w:val="none" w:color="auto"/>
        </w:rPr>
        <w:t>万元，占</w:t>
      </w:r>
      <w:r>
        <w:rPr>
          <w:rFonts w:ascii="times_new_roman" w:hAnsi="times_new_roman" w:eastAsia="times_new_roman" w:cs="times_new_roman"/>
          <w:color w:val="000000"/>
          <w:kern w:val="0"/>
          <w:sz w:val="32"/>
          <w:szCs w:val="32"/>
          <w:u w:val="none" w:color="auto"/>
        </w:rPr>
        <w:t> 0</w:t>
      </w:r>
      <w:r>
        <w:rPr>
          <w:rFonts w:ascii="仿宋_GB2312" w:hAnsi="仿宋_GB2312" w:eastAsia="仿宋_GB2312" w:cs="仿宋_GB2312"/>
          <w:color w:val="000000"/>
          <w:kern w:val="0"/>
          <w:sz w:val="32"/>
          <w:szCs w:val="32"/>
          <w:u w:val="none" w:color="auto"/>
        </w:rPr>
        <w:t>%。</w:t>
      </w:r>
    </w:p>
    <w:p w14:paraId="3D109985">
      <w:pPr>
        <w:widowControl/>
        <w:spacing w:line="578" w:lineRule="exact"/>
        <w:rPr>
          <w:rFonts w:eastAsia="Times New Roman"/>
          <w:kern w:val="0"/>
          <w:sz w:val="32"/>
          <w:szCs w:val="32"/>
        </w:rPr>
      </w:pPr>
      <w:r>
        <w:rPr>
          <w:rFonts w:ascii="仿宋_GB2312" w:hAnsi="仿宋_GB2312" w:eastAsia="仿宋_GB2312" w:cs="仿宋_GB2312"/>
          <w:color w:val="0E00FE"/>
          <w:kern w:val="0"/>
          <w:sz w:val="32"/>
          <w:szCs w:val="32"/>
        </w:rPr>
        <w:t xml:space="preserve">    </w:t>
      </w:r>
    </w:p>
    <w:p w14:paraId="5D5FD8CE">
      <w:pPr>
        <w:widowControl/>
        <w:spacing w:line="578" w:lineRule="exact"/>
        <w:jc w:val="center"/>
        <w:rPr>
          <w:rFonts w:eastAsia="Times New Roman"/>
          <w:kern w:val="0"/>
          <w:sz w:val="32"/>
          <w:szCs w:val="32"/>
        </w:rPr>
      </w:pPr>
      <w:r>
        <w:rPr>
          <w:rFonts w:eastAsia="Times New Roman"/>
          <w:kern w:val="0"/>
          <w:sz w:val="32"/>
          <w:szCs w:val="32"/>
        </w:rPr>
        <w:drawing>
          <wp:anchor distT="0" distB="0" distL="114300" distR="114300" simplePos="0" relativeHeight="251660288" behindDoc="0" locked="0" layoutInCell="1" allowOverlap="1">
            <wp:simplePos x="0" y="0"/>
            <wp:positionH relativeFrom="column">
              <wp:posOffset>-135255</wp:posOffset>
            </wp:positionH>
            <wp:positionV relativeFrom="paragraph">
              <wp:posOffset>120015</wp:posOffset>
            </wp:positionV>
            <wp:extent cx="6309995" cy="3944620"/>
            <wp:effectExtent l="0" t="0" r="14605" b="2540"/>
            <wp:wrapSquare wrapText="bothSides"/>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7"/>
                    <a:stretch>
                      <a:fillRect/>
                    </a:stretch>
                  </pic:blipFill>
                  <pic:spPr>
                    <a:xfrm>
                      <a:off x="0" y="0"/>
                      <a:ext cx="6309995" cy="3944620"/>
                    </a:xfrm>
                    <a:prstGeom prst="rect">
                      <a:avLst/>
                    </a:prstGeom>
                    <a:noFill/>
                    <a:ln>
                      <a:noFill/>
                    </a:ln>
                  </pic:spPr>
                </pic:pic>
              </a:graphicData>
            </a:graphic>
          </wp:anchor>
        </w:drawing>
      </w:r>
      <w:r>
        <w:rPr>
          <w:rFonts w:eastAsia="Times New Roman"/>
          <w:kern w:val="0"/>
          <w:sz w:val="32"/>
          <w:szCs w:val="32"/>
        </w:rPr>
        <w:t xml:space="preserve">  </w:t>
      </w:r>
    </w:p>
    <w:p w14:paraId="3D42624E">
      <w:pPr>
        <w:widowControl/>
        <w:spacing w:line="578" w:lineRule="exact"/>
        <w:jc w:val="center"/>
        <w:rPr>
          <w:rFonts w:eastAsia="Times New Roman"/>
          <w:kern w:val="0"/>
          <w:sz w:val="32"/>
          <w:szCs w:val="32"/>
        </w:rPr>
      </w:pPr>
      <w:r>
        <w:rPr>
          <w:rFonts w:ascii="仿宋_GB2312" w:hAnsi="仿宋_GB2312" w:eastAsia="仿宋_GB2312" w:cs="仿宋_GB2312"/>
          <w:kern w:val="0"/>
          <w:sz w:val="32"/>
          <w:szCs w:val="32"/>
        </w:rPr>
        <w:t>图2.支出决算图</w:t>
      </w:r>
    </w:p>
    <w:p w14:paraId="351B1530">
      <w:pPr>
        <w:widowControl/>
        <w:spacing w:line="578" w:lineRule="exact"/>
        <w:jc w:val="left"/>
        <w:rPr>
          <w:rFonts w:eastAsia="Times New Roman"/>
          <w:kern w:val="0"/>
          <w:sz w:val="32"/>
          <w:szCs w:val="32"/>
        </w:rPr>
      </w:pPr>
    </w:p>
    <w:p w14:paraId="36961553">
      <w:pPr>
        <w:widowControl/>
        <w:spacing w:line="578" w:lineRule="exact"/>
        <w:jc w:val="left"/>
        <w:rPr>
          <w:rFonts w:eastAsia="Times New Roman"/>
          <w:kern w:val="0"/>
          <w:sz w:val="32"/>
          <w:szCs w:val="32"/>
          <w:u w:val="none" w:color="auto"/>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黑体" w:hAnsi="黑体" w:eastAsia="黑体" w:cs="黑体"/>
          <w:b/>
          <w:bCs/>
          <w:kern w:val="0"/>
          <w:sz w:val="32"/>
          <w:szCs w:val="32"/>
          <w:u w:val="none" w:color="auto"/>
        </w:rPr>
        <w:t>四、财政拨款收入支出决算总体情况说明</w:t>
      </w:r>
    </w:p>
    <w:p w14:paraId="3C0AA399">
      <w:pPr>
        <w:widowControl/>
        <w:spacing w:line="578" w:lineRule="exact"/>
        <w:rPr>
          <w:rFonts w:eastAsia="Times New Roman"/>
          <w:kern w:val="0"/>
          <w:sz w:val="32"/>
          <w:szCs w:val="32"/>
          <w:u w:val="none" w:color="auto"/>
        </w:rPr>
      </w:pPr>
      <w:r>
        <w:rPr>
          <w:rFonts w:ascii="仿宋_GB2312" w:hAnsi="仿宋_GB2312" w:eastAsia="仿宋_GB2312" w:cs="仿宋_GB2312"/>
          <w:kern w:val="0"/>
          <w:sz w:val="32"/>
          <w:szCs w:val="32"/>
          <w:u w:val="none" w:color="auto"/>
        </w:rPr>
        <w:t>   </w:t>
      </w:r>
      <w:r>
        <w:rPr>
          <w:rFonts w:ascii="仿宋_GB2312" w:hAnsi="仿宋_GB2312" w:eastAsia="仿宋_GB2312" w:cs="仿宋_GB2312"/>
          <w:color w:val="000000"/>
          <w:kern w:val="0"/>
          <w:sz w:val="32"/>
          <w:szCs w:val="32"/>
          <w:u w:val="none" w:color="auto"/>
        </w:rPr>
        <w:t xml:space="preserve"> 内蒙古自治区包头市住房和城乡建设局综合保障中心 </w:t>
      </w:r>
      <w:r>
        <w:rPr>
          <w:rFonts w:ascii="times_new_roman" w:hAnsi="times_new_roman" w:eastAsia="times_new_roman" w:cs="times_new_roman"/>
          <w:color w:val="000000"/>
          <w:kern w:val="0"/>
          <w:sz w:val="32"/>
          <w:szCs w:val="32"/>
          <w:u w:val="none" w:color="auto"/>
        </w:rPr>
        <w:t>2024</w:t>
      </w:r>
      <w:r>
        <w:rPr>
          <w:rFonts w:ascii="仿宋_GB2312" w:hAnsi="仿宋_GB2312" w:eastAsia="仿宋_GB2312" w:cs="仿宋_GB2312"/>
          <w:color w:val="000000"/>
          <w:kern w:val="0"/>
          <w:sz w:val="32"/>
          <w:szCs w:val="32"/>
          <w:u w:val="none" w:color="auto"/>
        </w:rPr>
        <w:t>年度财政拨款收入、支出决算总计均为</w:t>
      </w:r>
      <w:r>
        <w:rPr>
          <w:rFonts w:ascii="times_new_roman" w:hAnsi="times_new_roman" w:eastAsia="times_new_roman" w:cs="times_new_roman"/>
          <w:color w:val="000000"/>
          <w:kern w:val="0"/>
          <w:sz w:val="32"/>
          <w:szCs w:val="32"/>
          <w:u w:val="none" w:color="auto"/>
        </w:rPr>
        <w:t> 453.48</w:t>
      </w:r>
      <w:r>
        <w:rPr>
          <w:rFonts w:ascii="仿宋_GB2312" w:hAnsi="仿宋_GB2312" w:eastAsia="仿宋_GB2312" w:cs="仿宋_GB2312"/>
          <w:color w:val="000000"/>
          <w:kern w:val="0"/>
          <w:sz w:val="32"/>
          <w:szCs w:val="32"/>
          <w:u w:val="none" w:color="auto"/>
        </w:rPr>
        <w:t>万元，与年初预算相比，收、支总计各减少</w:t>
      </w:r>
      <w:r>
        <w:rPr>
          <w:rFonts w:ascii="times_new_roman" w:hAnsi="times_new_roman" w:eastAsia="times_new_roman" w:cs="times_new_roman"/>
          <w:color w:val="000000"/>
          <w:kern w:val="0"/>
          <w:sz w:val="32"/>
          <w:szCs w:val="32"/>
          <w:u w:val="none" w:color="auto"/>
        </w:rPr>
        <w:t> 54.84</w:t>
      </w:r>
      <w:r>
        <w:rPr>
          <w:rFonts w:ascii="仿宋_GB2312" w:hAnsi="仿宋_GB2312" w:eastAsia="仿宋_GB2312" w:cs="仿宋_GB2312"/>
          <w:color w:val="000000"/>
          <w:kern w:val="0"/>
          <w:sz w:val="32"/>
          <w:szCs w:val="32"/>
          <w:u w:val="none" w:color="auto"/>
        </w:rPr>
        <w:t>万元，下降</w:t>
      </w:r>
      <w:r>
        <w:rPr>
          <w:rFonts w:ascii="times_new_roman" w:hAnsi="times_new_roman" w:eastAsia="times_new_roman" w:cs="times_new_roman"/>
          <w:color w:val="000000"/>
          <w:kern w:val="0"/>
          <w:sz w:val="32"/>
          <w:szCs w:val="32"/>
          <w:u w:val="none" w:color="auto"/>
        </w:rPr>
        <w:t> 10.79</w:t>
      </w:r>
      <w:r>
        <w:rPr>
          <w:rFonts w:ascii="仿宋_GB2312" w:hAnsi="仿宋_GB2312" w:eastAsia="仿宋_GB2312" w:cs="仿宋_GB2312"/>
          <w:color w:val="000000"/>
          <w:kern w:val="0"/>
          <w:sz w:val="32"/>
          <w:szCs w:val="32"/>
          <w:u w:val="none" w:color="auto"/>
        </w:rPr>
        <w:t>%，变动原因：</w:t>
      </w:r>
      <w:r>
        <w:rPr>
          <w:rFonts w:hint="eastAsia" w:ascii="仿宋_GB2312" w:hAnsi="仿宋_GB2312" w:eastAsia="仿宋_GB2312" w:cs="仿宋_GB2312"/>
          <w:color w:val="000000"/>
          <w:kern w:val="0"/>
          <w:sz w:val="32"/>
          <w:szCs w:val="32"/>
          <w:u w:val="none" w:color="auto"/>
        </w:rPr>
        <w:t>本年人员经费中取消艰苦边远地区补助工资基数减少</w:t>
      </w:r>
      <w:r>
        <w:rPr>
          <w:rFonts w:ascii="仿宋_GB2312" w:hAnsi="仿宋_GB2312" w:eastAsia="仿宋_GB2312" w:cs="仿宋_GB2312"/>
          <w:color w:val="000000"/>
          <w:kern w:val="0"/>
          <w:sz w:val="32"/>
          <w:szCs w:val="32"/>
          <w:u w:val="none" w:color="auto"/>
        </w:rPr>
        <w:t>；与上年决算相比，收、支总计各减少</w:t>
      </w:r>
      <w:r>
        <w:rPr>
          <w:rFonts w:ascii="times_new_roman" w:hAnsi="times_new_roman" w:eastAsia="times_new_roman" w:cs="times_new_roman"/>
          <w:color w:val="000000"/>
          <w:kern w:val="0"/>
          <w:sz w:val="32"/>
          <w:szCs w:val="32"/>
          <w:u w:val="none" w:color="auto"/>
        </w:rPr>
        <w:t> 33.06</w:t>
      </w:r>
      <w:r>
        <w:rPr>
          <w:rFonts w:ascii="仿宋_GB2312" w:hAnsi="仿宋_GB2312" w:eastAsia="仿宋_GB2312" w:cs="仿宋_GB2312"/>
          <w:color w:val="000000"/>
          <w:kern w:val="0"/>
          <w:sz w:val="32"/>
          <w:szCs w:val="32"/>
          <w:u w:val="none" w:color="auto"/>
        </w:rPr>
        <w:t>万元，下降</w:t>
      </w:r>
      <w:r>
        <w:rPr>
          <w:rFonts w:ascii="times_new_roman" w:hAnsi="times_new_roman" w:eastAsia="times_new_roman" w:cs="times_new_roman"/>
          <w:color w:val="000000"/>
          <w:kern w:val="0"/>
          <w:sz w:val="32"/>
          <w:szCs w:val="32"/>
          <w:u w:val="none" w:color="auto"/>
        </w:rPr>
        <w:t xml:space="preserve"> 6.79</w:t>
      </w:r>
      <w:r>
        <w:rPr>
          <w:rFonts w:ascii="仿宋_GB2312" w:hAnsi="仿宋_GB2312" w:eastAsia="仿宋_GB2312" w:cs="仿宋_GB2312"/>
          <w:color w:val="000000"/>
          <w:kern w:val="0"/>
          <w:sz w:val="32"/>
          <w:szCs w:val="32"/>
          <w:u w:val="none" w:color="auto"/>
        </w:rPr>
        <w:t>%，变动原因：</w:t>
      </w:r>
      <w:r>
        <w:rPr>
          <w:rFonts w:hint="eastAsia" w:ascii="仿宋_GB2312" w:hAnsi="仿宋_GB2312" w:eastAsia="仿宋_GB2312" w:cs="仿宋_GB2312"/>
          <w:color w:val="000000"/>
          <w:kern w:val="0"/>
          <w:sz w:val="32"/>
          <w:szCs w:val="32"/>
          <w:u w:val="none" w:color="auto"/>
        </w:rPr>
        <w:t>本年人员经费中取消艰苦边远地区补助工资基数减少</w:t>
      </w:r>
      <w:r>
        <w:rPr>
          <w:rFonts w:ascii="仿宋_GB2312" w:hAnsi="仿宋_GB2312" w:eastAsia="仿宋_GB2312" w:cs="仿宋_GB2312"/>
          <w:color w:val="000000"/>
          <w:kern w:val="0"/>
          <w:sz w:val="32"/>
          <w:szCs w:val="32"/>
          <w:u w:val="none" w:color="auto"/>
        </w:rPr>
        <w:t>。</w:t>
      </w:r>
    </w:p>
    <w:p w14:paraId="1F5BC5DB">
      <w:pPr>
        <w:widowControl/>
        <w:spacing w:line="578" w:lineRule="exact"/>
        <w:jc w:val="left"/>
        <w:rPr>
          <w:rFonts w:eastAsia="Times New Roman"/>
          <w:kern w:val="0"/>
          <w:sz w:val="32"/>
          <w:szCs w:val="32"/>
          <w:u w:val="none" w:color="auto"/>
        </w:rPr>
      </w:pPr>
      <w:r>
        <w:rPr>
          <w:rFonts w:ascii="Calibri" w:hAnsi="Calibri" w:eastAsia="Calibri" w:cs="Calibri"/>
          <w:b/>
          <w:bCs/>
          <w:kern w:val="0"/>
          <w:sz w:val="32"/>
          <w:szCs w:val="32"/>
          <w:u w:val="none" w:color="auto"/>
        </w:rPr>
        <w:t> </w:t>
      </w:r>
      <w:r>
        <w:rPr>
          <w:rFonts w:ascii="黑体" w:hAnsi="黑体" w:eastAsia="黑体" w:cs="黑体"/>
          <w:b/>
          <w:bCs/>
          <w:kern w:val="0"/>
          <w:sz w:val="32"/>
          <w:szCs w:val="32"/>
          <w:u w:val="none" w:color="auto"/>
        </w:rPr>
        <w:t xml:space="preserve"> </w:t>
      </w:r>
      <w:r>
        <w:rPr>
          <w:rFonts w:ascii="Calibri" w:hAnsi="Calibri" w:eastAsia="Calibri" w:cs="Calibri"/>
          <w:b/>
          <w:bCs/>
          <w:kern w:val="0"/>
          <w:sz w:val="32"/>
          <w:szCs w:val="32"/>
          <w:u w:val="none" w:color="auto"/>
        </w:rPr>
        <w:t> </w:t>
      </w:r>
      <w:r>
        <w:rPr>
          <w:rFonts w:ascii="黑体" w:hAnsi="黑体" w:eastAsia="黑体" w:cs="黑体"/>
          <w:b/>
          <w:bCs/>
          <w:kern w:val="0"/>
          <w:sz w:val="32"/>
          <w:szCs w:val="32"/>
          <w:u w:val="none" w:color="auto"/>
        </w:rPr>
        <w:t xml:space="preserve"> 五、一般公共预算财政拨款支出决算情况说明</w:t>
      </w:r>
    </w:p>
    <w:p w14:paraId="3D8CECF9">
      <w:pPr>
        <w:widowControl/>
        <w:spacing w:line="578" w:lineRule="exact"/>
        <w:rPr>
          <w:rFonts w:eastAsiaTheme="minorEastAsia"/>
          <w:kern w:val="0"/>
          <w:sz w:val="32"/>
          <w:szCs w:val="32"/>
          <w:u w:val="none" w:color="auto"/>
        </w:rPr>
      </w:pPr>
      <w:r>
        <w:rPr>
          <w:rFonts w:ascii="仿宋_GB2312" w:hAnsi="仿宋_GB2312" w:eastAsia="仿宋_GB2312" w:cs="仿宋_GB2312"/>
          <w:kern w:val="0"/>
          <w:sz w:val="32"/>
          <w:szCs w:val="32"/>
          <w:u w:val="none" w:color="auto"/>
        </w:rPr>
        <w:t xml:space="preserve">    </w:t>
      </w:r>
      <w:r>
        <w:rPr>
          <w:rFonts w:ascii="仿宋_GB2312" w:hAnsi="仿宋_GB2312" w:eastAsia="仿宋_GB2312" w:cs="仿宋_GB2312"/>
          <w:color w:val="000000"/>
          <w:kern w:val="0"/>
          <w:sz w:val="32"/>
          <w:szCs w:val="32"/>
          <w:u w:val="none" w:color="auto"/>
        </w:rPr>
        <w:t>内蒙古自治区包头市住房和城乡建设局综合保障中心 </w:t>
      </w:r>
      <w:r>
        <w:rPr>
          <w:rFonts w:ascii="times_new_roman" w:hAnsi="times_new_roman" w:eastAsia="times_new_roman" w:cs="times_new_roman"/>
          <w:color w:val="000000"/>
          <w:kern w:val="0"/>
          <w:sz w:val="32"/>
          <w:szCs w:val="32"/>
          <w:u w:val="none" w:color="auto"/>
        </w:rPr>
        <w:t>2024</w:t>
      </w:r>
      <w:r>
        <w:rPr>
          <w:rFonts w:ascii="仿宋_GB2312" w:hAnsi="仿宋_GB2312" w:eastAsia="仿宋_GB2312" w:cs="仿宋_GB2312"/>
          <w:color w:val="000000"/>
          <w:kern w:val="0"/>
          <w:sz w:val="32"/>
          <w:szCs w:val="32"/>
          <w:u w:val="none" w:color="auto"/>
        </w:rPr>
        <w:t>年度一般公共预算财政拨款支出决算</w:t>
      </w:r>
      <w:r>
        <w:rPr>
          <w:rFonts w:ascii="times_new_roman" w:hAnsi="times_new_roman" w:eastAsia="times_new_roman" w:cs="times_new_roman"/>
          <w:color w:val="000000"/>
          <w:kern w:val="0"/>
          <w:sz w:val="32"/>
          <w:szCs w:val="32"/>
          <w:u w:val="none" w:color="auto"/>
        </w:rPr>
        <w:t> 449.71</w:t>
      </w:r>
      <w:r>
        <w:rPr>
          <w:rFonts w:ascii="仿宋_GB2312" w:hAnsi="仿宋_GB2312" w:eastAsia="仿宋_GB2312" w:cs="仿宋_GB2312"/>
          <w:color w:val="000000"/>
          <w:kern w:val="0"/>
          <w:sz w:val="32"/>
          <w:szCs w:val="32"/>
          <w:u w:val="none" w:color="auto"/>
        </w:rPr>
        <w:t>万元。与年初预算</w:t>
      </w:r>
      <w:r>
        <w:rPr>
          <w:rFonts w:eastAsia="Times New Roman"/>
          <w:color w:val="000000"/>
          <w:kern w:val="0"/>
          <w:sz w:val="32"/>
          <w:szCs w:val="32"/>
          <w:u w:val="none" w:color="auto"/>
        </w:rPr>
        <w:t xml:space="preserve"> 508.33</w:t>
      </w:r>
      <w:r>
        <w:rPr>
          <w:rFonts w:ascii="仿宋_GB2312" w:hAnsi="仿宋_GB2312" w:eastAsia="仿宋_GB2312" w:cs="仿宋_GB2312"/>
          <w:color w:val="000000"/>
          <w:kern w:val="0"/>
          <w:sz w:val="32"/>
          <w:szCs w:val="32"/>
          <w:u w:val="none" w:color="auto"/>
        </w:rPr>
        <w:t>万元相比，完成年初预算的</w:t>
      </w:r>
      <w:r>
        <w:rPr>
          <w:rFonts w:eastAsia="Times New Roman"/>
          <w:color w:val="000000"/>
          <w:kern w:val="0"/>
          <w:sz w:val="32"/>
          <w:szCs w:val="32"/>
          <w:u w:val="none" w:color="auto"/>
        </w:rPr>
        <w:t xml:space="preserve"> 88.47</w:t>
      </w:r>
      <w:r>
        <w:rPr>
          <w:rFonts w:ascii="仿宋_GB2312" w:hAnsi="仿宋_GB2312" w:eastAsia="仿宋_GB2312" w:cs="仿宋_GB2312"/>
          <w:color w:val="000000"/>
          <w:kern w:val="0"/>
          <w:sz w:val="32"/>
          <w:szCs w:val="32"/>
          <w:u w:val="none" w:color="auto"/>
        </w:rPr>
        <w:t>%。其中：</w:t>
      </w:r>
    </w:p>
    <w:p w14:paraId="10259A07">
      <w:pPr>
        <w:widowControl/>
        <w:spacing w:line="578" w:lineRule="exact"/>
        <w:jc w:val="left"/>
        <w:rPr>
          <w:rFonts w:ascii="楷体" w:hAnsi="楷体" w:eastAsia="楷体" w:cs="楷体"/>
          <w:kern w:val="0"/>
          <w:sz w:val="32"/>
          <w:szCs w:val="32"/>
          <w:u w:val="none" w:color="auto"/>
        </w:rPr>
      </w:pPr>
      <w:r>
        <w:rPr>
          <w:rFonts w:ascii="kai_ti_gb2312" w:hAnsi="kai_ti_gb2312" w:eastAsia="kai_ti_gb2312" w:cs="kai_ti_gb2312"/>
          <w:b/>
          <w:bCs/>
          <w:color w:val="000000"/>
          <w:kern w:val="0"/>
          <w:sz w:val="32"/>
          <w:szCs w:val="32"/>
          <w:u w:val="none" w:color="auto"/>
        </w:rPr>
        <w:t xml:space="preserve">    </w:t>
      </w:r>
      <w:r>
        <w:rPr>
          <w:rFonts w:hint="eastAsia" w:ascii="楷体" w:hAnsi="楷体" w:eastAsia="楷体" w:cs="楷体"/>
          <w:b/>
          <w:bCs/>
          <w:color w:val="000000"/>
          <w:kern w:val="0"/>
          <w:sz w:val="32"/>
          <w:szCs w:val="32"/>
          <w:u w:val="none" w:color="auto"/>
        </w:rPr>
        <w:t>（一）社会保障和就业支出（类）</w:t>
      </w:r>
    </w:p>
    <w:p w14:paraId="2C036B2B">
      <w:pPr>
        <w:widowControl/>
        <w:spacing w:line="578" w:lineRule="exact"/>
        <w:jc w:val="left"/>
        <w:rPr>
          <w:rFonts w:ascii="仿宋" w:hAnsi="仿宋" w:eastAsia="仿宋" w:cs="仿宋"/>
          <w:kern w:val="0"/>
          <w:sz w:val="32"/>
          <w:szCs w:val="32"/>
          <w:u w:val="none" w:color="auto"/>
        </w:rPr>
      </w:pPr>
      <w:r>
        <w:rPr>
          <w:rFonts w:ascii="仿宋_GB2312" w:hAnsi="仿宋_GB2312" w:eastAsia="仿宋_GB2312" w:cs="仿宋_GB2312"/>
          <w:color w:val="000000"/>
          <w:kern w:val="0"/>
          <w:sz w:val="32"/>
          <w:szCs w:val="32"/>
          <w:u w:val="none" w:color="auto"/>
        </w:rPr>
        <w:t xml:space="preserve">  </w:t>
      </w:r>
      <w:r>
        <w:rPr>
          <w:rFonts w:hint="eastAsia" w:ascii="仿宋" w:hAnsi="仿宋" w:eastAsia="仿宋" w:cs="仿宋"/>
          <w:color w:val="000000"/>
          <w:kern w:val="0"/>
          <w:sz w:val="32"/>
          <w:szCs w:val="32"/>
          <w:u w:val="none" w:color="auto"/>
        </w:rPr>
        <w:t>  社会保障和就业支出（类）决算数为 60.37万元，与年初预算相比减少 6.12万元。其中：</w:t>
      </w:r>
    </w:p>
    <w:p w14:paraId="7C004F80">
      <w:pPr>
        <w:widowControl/>
        <w:spacing w:line="578" w:lineRule="exact"/>
        <w:ind w:firstLine="640" w:firstLineChars="200"/>
        <w:jc w:val="left"/>
        <w:rPr>
          <w:rFonts w:ascii="仿宋" w:hAnsi="仿宋" w:eastAsia="仿宋" w:cs="仿宋"/>
          <w:kern w:val="0"/>
          <w:sz w:val="32"/>
          <w:szCs w:val="32"/>
          <w:u w:val="none" w:color="auto"/>
        </w:rPr>
      </w:pPr>
      <w:r>
        <w:rPr>
          <w:rFonts w:hint="eastAsia" w:ascii="仿宋" w:hAnsi="仿宋" w:eastAsia="仿宋" w:cs="仿宋"/>
          <w:kern w:val="0"/>
          <w:sz w:val="32"/>
          <w:szCs w:val="32"/>
          <w:u w:val="none" w:color="auto"/>
        </w:rPr>
        <w:t>1．行政事业单位养老支出（款）事业单位离退休（项）。年初预算22.36万元，支出决算22.91万元，完成年初预算的102.46%。决算数与年初预算数的差异原因：本年新增退休人员1人。</w:t>
      </w:r>
    </w:p>
    <w:p w14:paraId="07DC101D">
      <w:pPr>
        <w:widowControl/>
        <w:spacing w:line="578" w:lineRule="exact"/>
        <w:ind w:firstLine="640" w:firstLineChars="200"/>
        <w:jc w:val="left"/>
        <w:rPr>
          <w:rFonts w:ascii="仿宋" w:hAnsi="仿宋" w:eastAsia="仿宋" w:cs="仿宋"/>
          <w:kern w:val="0"/>
          <w:sz w:val="32"/>
          <w:szCs w:val="32"/>
          <w:u w:val="none" w:color="auto"/>
        </w:rPr>
      </w:pPr>
      <w:r>
        <w:rPr>
          <w:rFonts w:hint="eastAsia" w:ascii="仿宋" w:hAnsi="仿宋" w:eastAsia="仿宋" w:cs="仿宋"/>
          <w:kern w:val="0"/>
          <w:sz w:val="32"/>
          <w:szCs w:val="32"/>
          <w:u w:val="none" w:color="auto"/>
        </w:rPr>
        <w:t>2．行政事业单位养老支出（款）机关事业单位基本养老保险缴费支出（项）。年初预算44.13万元，支出决算37.46万元，完成年初预算的84.89%。决算数与年初预算数的差异原因：本年工资基数减少，导致养老保险支出减少。</w:t>
      </w:r>
    </w:p>
    <w:p w14:paraId="1D1989EE">
      <w:pPr>
        <w:widowControl/>
        <w:spacing w:line="578" w:lineRule="exact"/>
        <w:jc w:val="left"/>
        <w:rPr>
          <w:rFonts w:ascii="楷体" w:hAnsi="楷体" w:eastAsia="楷体" w:cs="楷体"/>
          <w:kern w:val="0"/>
          <w:sz w:val="32"/>
          <w:szCs w:val="32"/>
        </w:rPr>
      </w:pPr>
      <w:r>
        <w:rPr>
          <w:rFonts w:ascii="kai_ti_gb2312" w:hAnsi="kai_ti_gb2312" w:eastAsia="kai_ti_gb2312" w:cs="kai_ti_gb2312"/>
          <w:b/>
          <w:bCs/>
          <w:color w:val="000000"/>
          <w:kern w:val="0"/>
          <w:sz w:val="32"/>
          <w:szCs w:val="32"/>
        </w:rPr>
        <w:t>   </w:t>
      </w:r>
      <w:r>
        <w:rPr>
          <w:rFonts w:hint="eastAsia" w:ascii="楷体" w:hAnsi="楷体" w:eastAsia="楷体" w:cs="楷体"/>
          <w:b/>
          <w:bCs/>
          <w:kern w:val="0"/>
          <w:sz w:val="32"/>
          <w:szCs w:val="32"/>
        </w:rPr>
        <w:t>（二）卫生健康支出（类）</w:t>
      </w:r>
    </w:p>
    <w:p w14:paraId="37499086">
      <w:pPr>
        <w:widowControl/>
        <w:spacing w:line="578" w:lineRule="exact"/>
        <w:rPr>
          <w:rFonts w:ascii="仿宋" w:hAnsi="仿宋" w:eastAsia="仿宋" w:cs="仿宋"/>
          <w:kern w:val="0"/>
          <w:sz w:val="32"/>
          <w:szCs w:val="32"/>
          <w:u w:val="none" w:color="auto"/>
        </w:rPr>
      </w:pPr>
      <w:r>
        <w:rPr>
          <w:rFonts w:ascii="fang_song_gb2312" w:hAnsi="fang_song_gb2312" w:eastAsia="fang_song_gb2312" w:cs="fang_song_gb2312"/>
          <w:kern w:val="0"/>
          <w:sz w:val="32"/>
          <w:szCs w:val="32"/>
        </w:rPr>
        <w:t xml:space="preserve">  </w:t>
      </w:r>
      <w:r>
        <w:rPr>
          <w:rFonts w:ascii="fang_song_gb2312" w:hAnsi="fang_song_gb2312" w:eastAsia="fang_song_gb2312" w:cs="fang_song_gb2312"/>
          <w:kern w:val="0"/>
          <w:sz w:val="32"/>
          <w:szCs w:val="32"/>
          <w:u w:val="none" w:color="auto"/>
        </w:rPr>
        <w:t> </w:t>
      </w:r>
      <w:r>
        <w:rPr>
          <w:rFonts w:hint="eastAsia" w:ascii="fang_song_gb2312" w:hAnsi="fang_song_gb2312" w:cs="fang_song_gb2312" w:eastAsiaTheme="minorEastAsia"/>
          <w:kern w:val="0"/>
          <w:sz w:val="32"/>
          <w:szCs w:val="32"/>
          <w:u w:val="none" w:color="auto"/>
        </w:rPr>
        <w:t xml:space="preserve">  </w:t>
      </w:r>
      <w:r>
        <w:rPr>
          <w:rFonts w:hint="eastAsia" w:ascii="仿宋" w:hAnsi="仿宋" w:eastAsia="仿宋" w:cs="仿宋"/>
          <w:kern w:val="0"/>
          <w:sz w:val="32"/>
          <w:szCs w:val="32"/>
          <w:u w:val="none" w:color="auto"/>
        </w:rPr>
        <w:t>卫生健康支出类决算数为 17.43万元，与年初预算相比减少0.57万元。其中：</w:t>
      </w:r>
    </w:p>
    <w:p w14:paraId="5C62D083">
      <w:pPr>
        <w:widowControl/>
        <w:spacing w:line="578" w:lineRule="exact"/>
        <w:ind w:firstLine="640" w:firstLineChars="200"/>
        <w:rPr>
          <w:rFonts w:ascii="仿宋" w:hAnsi="仿宋" w:eastAsia="仿宋" w:cs="仿宋"/>
          <w:kern w:val="0"/>
          <w:sz w:val="32"/>
          <w:szCs w:val="32"/>
          <w:u w:val="none" w:color="auto"/>
        </w:rPr>
      </w:pPr>
      <w:r>
        <w:rPr>
          <w:rFonts w:hint="eastAsia" w:ascii="仿宋" w:hAnsi="仿宋" w:eastAsia="仿宋" w:cs="仿宋"/>
          <w:kern w:val="0"/>
          <w:sz w:val="32"/>
          <w:szCs w:val="32"/>
          <w:u w:val="none" w:color="auto"/>
        </w:rPr>
        <w:t>1.行政事业单位医疗（款）事业单位医疗（项）。年初预算18万元，支出决算17.43万元，完成年初预算的96.83%。决算数与年初预算数的差异原因：本年工资基数减少，导致医疗保险支出减少。</w:t>
      </w:r>
    </w:p>
    <w:p w14:paraId="3B829DFE">
      <w:pPr>
        <w:widowControl/>
        <w:spacing w:line="578" w:lineRule="exact"/>
        <w:jc w:val="left"/>
        <w:rPr>
          <w:rFonts w:ascii="楷体" w:hAnsi="楷体" w:eastAsia="楷体" w:cs="楷体"/>
          <w:b/>
          <w:bCs/>
          <w:kern w:val="0"/>
          <w:sz w:val="32"/>
          <w:szCs w:val="32"/>
          <w:u w:val="none" w:color="auto"/>
        </w:rPr>
      </w:pPr>
      <w:r>
        <w:rPr>
          <w:rFonts w:hint="eastAsia" w:ascii="楷体" w:hAnsi="楷体" w:eastAsia="楷体" w:cs="楷体"/>
          <w:b/>
          <w:bCs/>
          <w:kern w:val="0"/>
          <w:sz w:val="32"/>
          <w:szCs w:val="32"/>
          <w:u w:val="none" w:color="auto"/>
        </w:rPr>
        <w:t>   （三）住房保障支出（类）</w:t>
      </w:r>
    </w:p>
    <w:p w14:paraId="1320ADA9">
      <w:pPr>
        <w:widowControl/>
        <w:spacing w:line="578" w:lineRule="exact"/>
        <w:rPr>
          <w:rFonts w:ascii="仿宋" w:hAnsi="仿宋" w:eastAsia="仿宋" w:cs="仿宋"/>
          <w:kern w:val="0"/>
          <w:sz w:val="32"/>
          <w:szCs w:val="32"/>
          <w:u w:val="none" w:color="auto"/>
        </w:rPr>
      </w:pPr>
      <w:r>
        <w:rPr>
          <w:rFonts w:hint="eastAsia" w:ascii="仿宋" w:hAnsi="仿宋" w:eastAsia="仿宋" w:cs="仿宋"/>
          <w:kern w:val="0"/>
          <w:sz w:val="32"/>
          <w:szCs w:val="32"/>
          <w:u w:val="none" w:color="auto"/>
        </w:rPr>
        <w:t>    住房保障支出类决算数为 29.42万元，与年初预算相比减少 5.09万元。其中：</w:t>
      </w:r>
    </w:p>
    <w:p w14:paraId="629A8232">
      <w:pPr>
        <w:widowControl/>
        <w:spacing w:line="578" w:lineRule="exact"/>
        <w:ind w:firstLine="640" w:firstLineChars="200"/>
        <w:rPr>
          <w:rFonts w:ascii="仿宋" w:hAnsi="仿宋" w:eastAsia="仿宋" w:cs="仿宋"/>
          <w:kern w:val="0"/>
          <w:sz w:val="32"/>
          <w:szCs w:val="32"/>
          <w:u w:val="none" w:color="auto"/>
        </w:rPr>
      </w:pPr>
      <w:r>
        <w:rPr>
          <w:rFonts w:hint="eastAsia" w:ascii="仿宋" w:hAnsi="仿宋" w:eastAsia="仿宋" w:cs="仿宋"/>
          <w:kern w:val="0"/>
          <w:sz w:val="32"/>
          <w:szCs w:val="32"/>
          <w:u w:val="none" w:color="auto"/>
        </w:rPr>
        <w:t>1．住房改革支出（款）住房公积金（项）。年初预算34.51万元，支出决算29.42万元，完成年初预算的85.25%。决算数与年初预算数的差异原因：本年工资基数减少，导致住房公积金支出减少。</w:t>
      </w:r>
    </w:p>
    <w:p w14:paraId="381771BD">
      <w:pPr>
        <w:widowControl/>
        <w:spacing w:line="578" w:lineRule="exact"/>
        <w:jc w:val="left"/>
        <w:rPr>
          <w:rFonts w:ascii="黑体" w:hAnsi="黑体" w:eastAsia="黑体" w:cs="黑体"/>
          <w:kern w:val="0"/>
          <w:sz w:val="32"/>
          <w:szCs w:val="32"/>
          <w:u w:val="none" w:color="auto"/>
        </w:rPr>
      </w:pPr>
      <w:r>
        <w:rPr>
          <w:rFonts w:hint="eastAsia" w:ascii="仿宋" w:hAnsi="仿宋" w:eastAsia="仿宋" w:cs="仿宋"/>
          <w:b/>
          <w:bCs/>
          <w:kern w:val="0"/>
          <w:sz w:val="32"/>
          <w:szCs w:val="32"/>
          <w:u w:val="none" w:color="auto"/>
        </w:rPr>
        <w:t xml:space="preserve">    </w:t>
      </w:r>
      <w:r>
        <w:rPr>
          <w:rFonts w:hint="eastAsia" w:ascii="黑体" w:hAnsi="黑体" w:eastAsia="黑体" w:cs="黑体"/>
          <w:b/>
          <w:bCs/>
          <w:kern w:val="0"/>
          <w:sz w:val="32"/>
          <w:szCs w:val="32"/>
          <w:u w:val="none" w:color="auto"/>
        </w:rPr>
        <w:t>六、一般公共预算财政拨款基本支出决算情况说明</w:t>
      </w:r>
    </w:p>
    <w:p w14:paraId="4E07E89A">
      <w:pPr>
        <w:widowControl/>
        <w:spacing w:line="578" w:lineRule="exact"/>
        <w:rPr>
          <w:rFonts w:ascii="仿宋" w:hAnsi="仿宋" w:eastAsia="仿宋" w:cs="仿宋"/>
          <w:kern w:val="0"/>
          <w:sz w:val="32"/>
          <w:szCs w:val="32"/>
          <w:u w:val="none" w:color="auto"/>
        </w:rPr>
      </w:pPr>
      <w:r>
        <w:rPr>
          <w:rFonts w:hint="eastAsia" w:ascii="仿宋" w:hAnsi="仿宋" w:eastAsia="仿宋" w:cs="仿宋"/>
          <w:kern w:val="0"/>
          <w:sz w:val="32"/>
          <w:szCs w:val="32"/>
          <w:u w:val="none" w:color="auto"/>
        </w:rPr>
        <w:t xml:space="preserve">    </w:t>
      </w:r>
      <w:r>
        <w:rPr>
          <w:rFonts w:hint="eastAsia" w:ascii="仿宋" w:hAnsi="仿宋" w:eastAsia="仿宋" w:cs="仿宋"/>
          <w:color w:val="000000"/>
          <w:kern w:val="0"/>
          <w:sz w:val="32"/>
          <w:szCs w:val="32"/>
          <w:u w:val="none" w:color="auto"/>
        </w:rPr>
        <w:t>内蒙古自治区包头市住房和城乡建设局综合保障中心 2024年度一般公共预算财政拨款基本支出决算 448.21万元，其中：</w:t>
      </w:r>
    </w:p>
    <w:p w14:paraId="2248C4CB">
      <w:pPr>
        <w:widowControl/>
        <w:spacing w:line="578" w:lineRule="exact"/>
        <w:rPr>
          <w:rFonts w:ascii="仿宋" w:hAnsi="仿宋" w:eastAsia="仿宋" w:cs="仿宋"/>
          <w:kern w:val="0"/>
          <w:sz w:val="32"/>
          <w:szCs w:val="32"/>
          <w:u w:val="none" w:color="auto"/>
        </w:rPr>
      </w:pPr>
      <w:r>
        <w:rPr>
          <w:rFonts w:hint="eastAsia" w:ascii="仿宋" w:hAnsi="仿宋" w:eastAsia="仿宋" w:cs="仿宋"/>
          <w:b/>
          <w:bCs/>
          <w:color w:val="000000"/>
          <w:kern w:val="0"/>
          <w:sz w:val="32"/>
          <w:szCs w:val="32"/>
          <w:u w:val="none" w:color="auto"/>
        </w:rPr>
        <w:t xml:space="preserve">  </w:t>
      </w:r>
      <w:r>
        <w:rPr>
          <w:rFonts w:hint="eastAsia" w:ascii="楷体" w:hAnsi="楷体" w:eastAsia="楷体" w:cs="楷体"/>
          <w:b/>
          <w:bCs/>
          <w:color w:val="000000"/>
          <w:kern w:val="0"/>
          <w:sz w:val="32"/>
          <w:szCs w:val="32"/>
          <w:u w:val="none" w:color="auto"/>
        </w:rPr>
        <w:t>  （一）人员经费</w:t>
      </w:r>
      <w:r>
        <w:rPr>
          <w:rFonts w:hint="eastAsia" w:ascii="楷体" w:hAnsi="楷体" w:eastAsia="楷体" w:cs="楷体"/>
          <w:color w:val="000000"/>
          <w:kern w:val="0"/>
          <w:sz w:val="32"/>
          <w:szCs w:val="32"/>
          <w:u w:val="none" w:color="auto"/>
        </w:rPr>
        <w:t> 418.63</w:t>
      </w:r>
      <w:r>
        <w:rPr>
          <w:rFonts w:hint="eastAsia" w:ascii="楷体" w:hAnsi="楷体" w:eastAsia="楷体" w:cs="楷体"/>
          <w:b/>
          <w:bCs/>
          <w:color w:val="000000"/>
          <w:kern w:val="0"/>
          <w:sz w:val="32"/>
          <w:szCs w:val="32"/>
          <w:u w:val="none" w:color="auto"/>
        </w:rPr>
        <w:t>万元</w:t>
      </w:r>
      <w:r>
        <w:rPr>
          <w:rFonts w:hint="eastAsia" w:ascii="楷体" w:hAnsi="楷体" w:eastAsia="楷体" w:cs="楷体"/>
          <w:color w:val="000000"/>
          <w:kern w:val="0"/>
          <w:sz w:val="32"/>
          <w:szCs w:val="32"/>
          <w:u w:val="none" w:color="auto"/>
        </w:rPr>
        <w:t>。</w:t>
      </w:r>
      <w:r>
        <w:rPr>
          <w:rFonts w:hint="eastAsia" w:ascii="仿宋" w:hAnsi="仿宋" w:eastAsia="仿宋" w:cs="仿宋"/>
          <w:color w:val="000000"/>
          <w:kern w:val="0"/>
          <w:sz w:val="32"/>
          <w:szCs w:val="32"/>
          <w:u w:val="none" w:color="auto"/>
        </w:rPr>
        <w:t>主要包括：</w:t>
      </w:r>
      <w:r>
        <w:rPr>
          <w:rFonts w:hint="eastAsia" w:ascii="仿宋" w:hAnsi="仿宋" w:eastAsia="仿宋" w:cs="仿宋"/>
          <w:kern w:val="0"/>
          <w:sz w:val="32"/>
          <w:szCs w:val="32"/>
          <w:u w:val="none" w:color="auto"/>
        </w:rPr>
        <w:t>基本工资117.50万元、津贴补贴27.42万元、绩效工资160.18万元、机关事业单位基本养老保险缴费37.46万元、职工基本医疗保险缴费17.43万元、其他社会保障缴费6.32万元、退休费22.91万元、住房公积金29.42万元</w:t>
      </w:r>
      <w:r>
        <w:rPr>
          <w:rFonts w:hint="eastAsia" w:ascii="仿宋" w:hAnsi="仿宋" w:eastAsia="仿宋" w:cs="仿宋"/>
          <w:color w:val="000000"/>
          <w:kern w:val="0"/>
          <w:sz w:val="32"/>
          <w:szCs w:val="32"/>
          <w:u w:val="none" w:color="auto"/>
        </w:rPr>
        <w:t>。</w:t>
      </w:r>
    </w:p>
    <w:p w14:paraId="16D60E9D">
      <w:pPr>
        <w:widowControl/>
        <w:spacing w:line="578" w:lineRule="exact"/>
        <w:rPr>
          <w:rFonts w:eastAsia="Times New Roman"/>
          <w:kern w:val="0"/>
          <w:sz w:val="32"/>
          <w:szCs w:val="32"/>
          <w:u w:val="none" w:color="auto"/>
        </w:rPr>
      </w:pPr>
      <w:r>
        <w:rPr>
          <w:rFonts w:hint="eastAsia" w:ascii="仿宋" w:hAnsi="仿宋" w:eastAsia="仿宋" w:cs="仿宋"/>
          <w:b/>
          <w:bCs/>
          <w:color w:val="000000"/>
          <w:kern w:val="0"/>
          <w:sz w:val="32"/>
          <w:szCs w:val="32"/>
          <w:u w:val="none" w:color="auto"/>
        </w:rPr>
        <w:t xml:space="preserve">    </w:t>
      </w:r>
      <w:r>
        <w:rPr>
          <w:rFonts w:hint="eastAsia" w:ascii="楷体" w:hAnsi="楷体" w:eastAsia="楷体" w:cs="楷体"/>
          <w:b/>
          <w:bCs/>
          <w:color w:val="000000"/>
          <w:kern w:val="0"/>
          <w:sz w:val="32"/>
          <w:szCs w:val="32"/>
          <w:u w:val="none" w:color="auto"/>
        </w:rPr>
        <w:t>（二）公用经费</w:t>
      </w:r>
      <w:r>
        <w:rPr>
          <w:rFonts w:hint="eastAsia" w:ascii="楷体" w:hAnsi="楷体" w:eastAsia="楷体" w:cs="楷体"/>
          <w:color w:val="000000"/>
          <w:kern w:val="0"/>
          <w:sz w:val="32"/>
          <w:szCs w:val="32"/>
          <w:u w:val="none" w:color="auto"/>
        </w:rPr>
        <w:t> 29.58</w:t>
      </w:r>
      <w:r>
        <w:rPr>
          <w:rFonts w:hint="eastAsia" w:ascii="楷体" w:hAnsi="楷体" w:eastAsia="楷体" w:cs="楷体"/>
          <w:b/>
          <w:bCs/>
          <w:color w:val="000000"/>
          <w:kern w:val="0"/>
          <w:sz w:val="32"/>
          <w:szCs w:val="32"/>
          <w:u w:val="none" w:color="auto"/>
        </w:rPr>
        <w:t>万元</w:t>
      </w:r>
      <w:r>
        <w:rPr>
          <w:rFonts w:hint="eastAsia" w:ascii="楷体" w:hAnsi="楷体" w:eastAsia="楷体" w:cs="楷体"/>
          <w:color w:val="000000"/>
          <w:kern w:val="0"/>
          <w:sz w:val="32"/>
          <w:szCs w:val="32"/>
          <w:u w:val="none" w:color="auto"/>
        </w:rPr>
        <w:t>。</w:t>
      </w:r>
      <w:r>
        <w:rPr>
          <w:rFonts w:hint="eastAsia" w:ascii="仿宋" w:hAnsi="仿宋" w:eastAsia="仿宋" w:cs="仿宋"/>
          <w:color w:val="000000"/>
          <w:kern w:val="0"/>
          <w:sz w:val="32"/>
          <w:szCs w:val="32"/>
          <w:u w:val="none" w:color="auto"/>
        </w:rPr>
        <w:t>主要包括：办公费4.65万元、邮电费0.96万元、物业管理费1.66万元、差旅费0.35万元、维修（护）费3.25万元、培训费0.6</w:t>
      </w:r>
      <w:r>
        <w:rPr>
          <w:rFonts w:hint="eastAsia" w:ascii="仿宋" w:hAnsi="仿宋" w:eastAsia="仿宋" w:cs="仿宋"/>
          <w:color w:val="000000"/>
          <w:kern w:val="0"/>
          <w:sz w:val="32"/>
          <w:szCs w:val="32"/>
          <w:u w:val="none" w:color="auto"/>
          <w:lang w:val="en-US" w:eastAsia="zh-CN"/>
        </w:rPr>
        <w:t>3</w:t>
      </w:r>
      <w:r>
        <w:rPr>
          <w:rFonts w:hint="eastAsia" w:ascii="仿宋" w:hAnsi="仿宋" w:eastAsia="仿宋" w:cs="仿宋"/>
          <w:color w:val="000000"/>
          <w:kern w:val="0"/>
          <w:sz w:val="32"/>
          <w:szCs w:val="32"/>
          <w:u w:val="none" w:color="auto"/>
        </w:rPr>
        <w:t>万元、工会经费5.5</w:t>
      </w:r>
      <w:r>
        <w:rPr>
          <w:rFonts w:hint="eastAsia" w:ascii="仿宋" w:hAnsi="仿宋" w:eastAsia="仿宋" w:cs="仿宋"/>
          <w:color w:val="000000"/>
          <w:kern w:val="0"/>
          <w:sz w:val="32"/>
          <w:szCs w:val="32"/>
          <w:u w:val="none" w:color="auto"/>
          <w:lang w:val="en-US" w:eastAsia="zh-CN"/>
        </w:rPr>
        <w:t>2</w:t>
      </w:r>
      <w:r>
        <w:rPr>
          <w:rFonts w:hint="eastAsia" w:ascii="仿宋" w:hAnsi="仿宋" w:eastAsia="仿宋" w:cs="仿宋"/>
          <w:color w:val="000000"/>
          <w:kern w:val="0"/>
          <w:sz w:val="32"/>
          <w:szCs w:val="32"/>
          <w:u w:val="none" w:color="auto"/>
        </w:rPr>
        <w:t>万元、福利费8.0</w:t>
      </w:r>
      <w:r>
        <w:rPr>
          <w:rFonts w:hint="eastAsia" w:ascii="仿宋" w:hAnsi="仿宋" w:eastAsia="仿宋" w:cs="仿宋"/>
          <w:color w:val="000000"/>
          <w:kern w:val="0"/>
          <w:sz w:val="32"/>
          <w:szCs w:val="32"/>
          <w:u w:val="none" w:color="auto"/>
          <w:lang w:val="en-US" w:eastAsia="zh-CN"/>
        </w:rPr>
        <w:t>4</w:t>
      </w:r>
      <w:r>
        <w:rPr>
          <w:rFonts w:hint="eastAsia" w:ascii="仿宋" w:hAnsi="仿宋" w:eastAsia="仿宋" w:cs="仿宋"/>
          <w:color w:val="000000"/>
          <w:kern w:val="0"/>
          <w:sz w:val="32"/>
          <w:szCs w:val="32"/>
          <w:u w:val="none" w:color="auto"/>
        </w:rPr>
        <w:t>万元、</w:t>
      </w:r>
      <w:r>
        <w:rPr>
          <w:rFonts w:ascii="仿宋_GB2312" w:hAnsi="仿宋_GB2312" w:eastAsia="仿宋_GB2312" w:cs="仿宋_GB2312"/>
          <w:color w:val="000000"/>
          <w:kern w:val="0"/>
          <w:sz w:val="32"/>
          <w:szCs w:val="32"/>
          <w:u w:val="none" w:color="auto"/>
        </w:rPr>
        <w:t>公务用车运行维护费</w:t>
      </w:r>
      <w:r>
        <w:rPr>
          <w:rFonts w:hint="eastAsia" w:ascii="仿宋_GB2312" w:hAnsi="仿宋_GB2312" w:eastAsia="仿宋_GB2312" w:cs="仿宋_GB2312"/>
          <w:color w:val="000000"/>
          <w:kern w:val="0"/>
          <w:sz w:val="32"/>
          <w:szCs w:val="32"/>
          <w:u w:val="none" w:color="auto"/>
        </w:rPr>
        <w:t>2.5万元</w:t>
      </w:r>
      <w:r>
        <w:rPr>
          <w:rFonts w:ascii="仿宋_GB2312" w:hAnsi="仿宋_GB2312" w:eastAsia="仿宋_GB2312" w:cs="仿宋_GB2312"/>
          <w:color w:val="000000"/>
          <w:kern w:val="0"/>
          <w:sz w:val="32"/>
          <w:szCs w:val="32"/>
          <w:u w:val="none" w:color="auto"/>
        </w:rPr>
        <w:t>、其他商品和服务支出</w:t>
      </w:r>
      <w:r>
        <w:rPr>
          <w:rFonts w:hint="eastAsia" w:ascii="仿宋_GB2312" w:hAnsi="仿宋_GB2312" w:eastAsia="仿宋_GB2312" w:cs="仿宋_GB2312"/>
          <w:color w:val="000000"/>
          <w:kern w:val="0"/>
          <w:sz w:val="32"/>
          <w:szCs w:val="32"/>
          <w:u w:val="none" w:color="auto"/>
        </w:rPr>
        <w:t>0.69万元</w:t>
      </w:r>
      <w:r>
        <w:rPr>
          <w:rFonts w:ascii="仿宋_GB2312" w:hAnsi="仿宋_GB2312" w:eastAsia="仿宋_GB2312" w:cs="仿宋_GB2312"/>
          <w:color w:val="000000"/>
          <w:kern w:val="0"/>
          <w:sz w:val="32"/>
          <w:szCs w:val="32"/>
          <w:u w:val="none" w:color="auto"/>
        </w:rPr>
        <w:t>、办公设备购置</w:t>
      </w:r>
      <w:r>
        <w:rPr>
          <w:rFonts w:hint="eastAsia" w:ascii="仿宋_GB2312" w:hAnsi="仿宋_GB2312" w:eastAsia="仿宋_GB2312" w:cs="仿宋_GB2312"/>
          <w:color w:val="000000"/>
          <w:kern w:val="0"/>
          <w:sz w:val="32"/>
          <w:szCs w:val="32"/>
          <w:u w:val="none" w:color="auto"/>
        </w:rPr>
        <w:t>1.36万元</w:t>
      </w:r>
      <w:r>
        <w:rPr>
          <w:rFonts w:ascii="仿宋_GB2312" w:hAnsi="仿宋_GB2312" w:eastAsia="仿宋_GB2312" w:cs="仿宋_GB2312"/>
          <w:color w:val="000000"/>
          <w:kern w:val="0"/>
          <w:sz w:val="32"/>
          <w:szCs w:val="32"/>
          <w:u w:val="none" w:color="auto"/>
        </w:rPr>
        <w:t>。</w:t>
      </w:r>
    </w:p>
    <w:p w14:paraId="7F39FC07">
      <w:pPr>
        <w:widowControl/>
        <w:spacing w:line="578" w:lineRule="exact"/>
        <w:jc w:val="left"/>
        <w:rPr>
          <w:rFonts w:eastAsia="Times New Roman"/>
          <w:kern w:val="0"/>
          <w:sz w:val="32"/>
          <w:szCs w:val="32"/>
        </w:rPr>
      </w:pPr>
      <w:r>
        <w:rPr>
          <w:rFonts w:ascii="Calibri" w:hAnsi="Calibri" w:eastAsia="Calibri" w:cs="Calibri"/>
          <w:b/>
          <w:bCs/>
          <w:kern w:val="0"/>
          <w:sz w:val="32"/>
          <w:szCs w:val="32"/>
        </w:rPr>
        <w:t> </w:t>
      </w:r>
      <w:r>
        <w:rPr>
          <w:rFonts w:ascii="黑体" w:hAnsi="黑体" w:eastAsia="黑体" w:cs="黑体"/>
          <w:b/>
          <w:bCs/>
          <w:kern w:val="0"/>
          <w:sz w:val="32"/>
          <w:szCs w:val="32"/>
        </w:rPr>
        <w:t xml:space="preserve"> </w:t>
      </w:r>
      <w:r>
        <w:rPr>
          <w:rFonts w:ascii="Calibri" w:hAnsi="Calibri" w:eastAsia="Calibri" w:cs="Calibri"/>
          <w:b/>
          <w:bCs/>
          <w:kern w:val="0"/>
          <w:sz w:val="32"/>
          <w:szCs w:val="32"/>
        </w:rPr>
        <w:t> </w:t>
      </w:r>
      <w:r>
        <w:rPr>
          <w:rFonts w:ascii="黑体" w:hAnsi="黑体" w:eastAsia="黑体" w:cs="黑体"/>
          <w:b/>
          <w:bCs/>
          <w:kern w:val="0"/>
          <w:sz w:val="32"/>
          <w:szCs w:val="32"/>
        </w:rPr>
        <w:t xml:space="preserve"> 七、一般公共预算财政拨款项目支出决算情况说明</w:t>
      </w:r>
    </w:p>
    <w:p w14:paraId="513056C7">
      <w:pPr>
        <w:widowControl/>
        <w:spacing w:line="578" w:lineRule="exact"/>
        <w:rPr>
          <w:rFonts w:eastAsia="Times New Roman"/>
          <w:kern w:val="0"/>
          <w:sz w:val="32"/>
          <w:szCs w:val="32"/>
          <w:u w:val="none" w:color="auto"/>
        </w:rPr>
      </w:pPr>
      <w:r>
        <w:rPr>
          <w:rFonts w:ascii="仿宋_GB2312" w:hAnsi="仿宋_GB2312" w:eastAsia="仿宋_GB2312" w:cs="仿宋_GB2312"/>
          <w:kern w:val="0"/>
          <w:sz w:val="32"/>
          <w:szCs w:val="32"/>
        </w:rPr>
        <w:t>   </w:t>
      </w:r>
      <w:r>
        <w:rPr>
          <w:rFonts w:ascii="仿宋_GB2312" w:hAnsi="仿宋_GB2312" w:eastAsia="仿宋_GB2312" w:cs="仿宋_GB2312"/>
          <w:color w:val="000000"/>
          <w:kern w:val="0"/>
          <w:sz w:val="32"/>
          <w:szCs w:val="32"/>
          <w:u w:val="none" w:color="auto"/>
        </w:rPr>
        <w:t xml:space="preserve"> 内蒙古自治区包头市住房和城乡建设局综合保障中心 </w:t>
      </w:r>
      <w:r>
        <w:rPr>
          <w:rFonts w:ascii="times_new_roman" w:hAnsi="times_new_roman" w:eastAsia="times_new_roman" w:cs="times_new_roman"/>
          <w:color w:val="000000"/>
          <w:kern w:val="0"/>
          <w:sz w:val="32"/>
          <w:szCs w:val="32"/>
          <w:u w:val="none" w:color="auto"/>
        </w:rPr>
        <w:t>2024</w:t>
      </w:r>
      <w:r>
        <w:rPr>
          <w:rFonts w:ascii="仿宋_GB2312" w:hAnsi="仿宋_GB2312" w:eastAsia="仿宋_GB2312" w:cs="仿宋_GB2312"/>
          <w:color w:val="000000"/>
          <w:kern w:val="0"/>
          <w:sz w:val="32"/>
          <w:szCs w:val="32"/>
          <w:u w:val="none" w:color="auto"/>
        </w:rPr>
        <w:t>年度一般公共预算财政拨款项目支出决算</w:t>
      </w:r>
      <w:r>
        <w:rPr>
          <w:rFonts w:eastAsia="Times New Roman"/>
          <w:color w:val="000000"/>
          <w:kern w:val="0"/>
          <w:sz w:val="32"/>
          <w:szCs w:val="32"/>
          <w:u w:val="none" w:color="auto"/>
        </w:rPr>
        <w:t xml:space="preserve"> 1.50</w:t>
      </w:r>
      <w:r>
        <w:rPr>
          <w:rFonts w:ascii="仿宋_GB2312" w:hAnsi="仿宋_GB2312" w:eastAsia="仿宋_GB2312" w:cs="仿宋_GB2312"/>
          <w:color w:val="000000"/>
          <w:kern w:val="0"/>
          <w:sz w:val="32"/>
          <w:szCs w:val="32"/>
          <w:u w:val="none" w:color="auto"/>
        </w:rPr>
        <w:t>万元，其中：</w:t>
      </w:r>
    </w:p>
    <w:p w14:paraId="077B973B">
      <w:pPr>
        <w:widowControl/>
        <w:spacing w:line="578" w:lineRule="exact"/>
        <w:rPr>
          <w:rFonts w:eastAsia="Times New Roman"/>
          <w:kern w:val="0"/>
          <w:sz w:val="32"/>
          <w:szCs w:val="32"/>
          <w:u w:val="none" w:color="auto"/>
        </w:rPr>
      </w:pPr>
      <w:r>
        <w:rPr>
          <w:rFonts w:ascii="仿宋_GB2312" w:hAnsi="仿宋_GB2312" w:eastAsia="仿宋_GB2312" w:cs="仿宋_GB2312"/>
          <w:b/>
          <w:bCs/>
          <w:color w:val="000000"/>
          <w:kern w:val="0"/>
          <w:sz w:val="32"/>
          <w:szCs w:val="32"/>
          <w:u w:val="none" w:color="auto"/>
        </w:rPr>
        <w:t>    （一）工资福利支出</w:t>
      </w:r>
      <w:r>
        <w:rPr>
          <w:rFonts w:eastAsia="Times New Roman"/>
          <w:color w:val="000000"/>
          <w:kern w:val="0"/>
          <w:sz w:val="32"/>
          <w:szCs w:val="32"/>
          <w:u w:val="none" w:color="auto"/>
        </w:rPr>
        <w:t xml:space="preserve"> </w:t>
      </w:r>
      <w:r>
        <w:rPr>
          <w:rFonts w:eastAsia="Times New Roman"/>
          <w:b/>
          <w:bCs/>
          <w:color w:val="000000"/>
          <w:kern w:val="0"/>
          <w:sz w:val="32"/>
          <w:szCs w:val="32"/>
          <w:u w:val="none" w:color="auto"/>
        </w:rPr>
        <w:t>0</w:t>
      </w:r>
      <w:r>
        <w:rPr>
          <w:rFonts w:ascii="仿宋_GB2312" w:hAnsi="仿宋_GB2312" w:eastAsia="仿宋_GB2312" w:cs="仿宋_GB2312"/>
          <w:color w:val="000000"/>
          <w:kern w:val="0"/>
          <w:sz w:val="32"/>
          <w:szCs w:val="32"/>
          <w:u w:val="none" w:color="auto"/>
        </w:rPr>
        <w:t>万元。</w:t>
      </w:r>
    </w:p>
    <w:p w14:paraId="6C525EFC">
      <w:pPr>
        <w:widowControl/>
        <w:spacing w:line="578" w:lineRule="exact"/>
        <w:rPr>
          <w:rFonts w:eastAsia="Times New Roman"/>
          <w:kern w:val="0"/>
          <w:sz w:val="32"/>
          <w:szCs w:val="32"/>
          <w:u w:val="none" w:color="auto"/>
        </w:rPr>
      </w:pPr>
      <w:r>
        <w:rPr>
          <w:rFonts w:ascii="仿宋_GB2312" w:hAnsi="仿宋_GB2312" w:eastAsia="仿宋_GB2312" w:cs="仿宋_GB2312"/>
          <w:b/>
          <w:bCs/>
          <w:color w:val="000000"/>
          <w:kern w:val="0"/>
          <w:sz w:val="32"/>
          <w:szCs w:val="32"/>
          <w:u w:val="none" w:color="auto"/>
        </w:rPr>
        <w:t>    （二）商品和服务支出</w:t>
      </w:r>
      <w:r>
        <w:rPr>
          <w:rFonts w:eastAsia="Times New Roman"/>
          <w:b/>
          <w:bCs/>
          <w:color w:val="000000"/>
          <w:kern w:val="0"/>
          <w:sz w:val="32"/>
          <w:szCs w:val="32"/>
          <w:u w:val="none" w:color="auto"/>
        </w:rPr>
        <w:t xml:space="preserve"> 1.50</w:t>
      </w:r>
      <w:r>
        <w:rPr>
          <w:rFonts w:ascii="仿宋_GB2312" w:hAnsi="仿宋_GB2312" w:eastAsia="仿宋_GB2312" w:cs="仿宋_GB2312"/>
          <w:color w:val="000000"/>
          <w:kern w:val="0"/>
          <w:sz w:val="32"/>
          <w:szCs w:val="32"/>
          <w:u w:val="none" w:color="auto"/>
        </w:rPr>
        <w:t>万元。主要包括：办公费</w:t>
      </w:r>
      <w:r>
        <w:rPr>
          <w:rFonts w:hint="eastAsia" w:ascii="仿宋_GB2312" w:hAnsi="仿宋_GB2312" w:eastAsia="仿宋_GB2312" w:cs="仿宋_GB2312"/>
          <w:color w:val="000000"/>
          <w:kern w:val="0"/>
          <w:sz w:val="32"/>
          <w:szCs w:val="32"/>
          <w:u w:val="none" w:color="auto"/>
        </w:rPr>
        <w:t>0.3万元</w:t>
      </w:r>
      <w:r>
        <w:rPr>
          <w:rFonts w:ascii="仿宋_GB2312" w:hAnsi="仿宋_GB2312" w:eastAsia="仿宋_GB2312" w:cs="仿宋_GB2312"/>
          <w:color w:val="000000"/>
          <w:kern w:val="0"/>
          <w:sz w:val="32"/>
          <w:szCs w:val="32"/>
          <w:u w:val="none" w:color="auto"/>
        </w:rPr>
        <w:t>、差旅费</w:t>
      </w:r>
      <w:r>
        <w:rPr>
          <w:rFonts w:hint="eastAsia" w:ascii="仿宋_GB2312" w:hAnsi="仿宋_GB2312" w:eastAsia="仿宋_GB2312" w:cs="仿宋_GB2312"/>
          <w:color w:val="000000"/>
          <w:kern w:val="0"/>
          <w:sz w:val="32"/>
          <w:szCs w:val="32"/>
          <w:u w:val="none" w:color="auto"/>
        </w:rPr>
        <w:t>1.2万元</w:t>
      </w:r>
      <w:r>
        <w:rPr>
          <w:rFonts w:ascii="仿宋_GB2312" w:hAnsi="仿宋_GB2312" w:eastAsia="仿宋_GB2312" w:cs="仿宋_GB2312"/>
          <w:color w:val="000000"/>
          <w:kern w:val="0"/>
          <w:sz w:val="32"/>
          <w:szCs w:val="32"/>
          <w:u w:val="none" w:color="auto"/>
        </w:rPr>
        <w:t>。</w:t>
      </w:r>
    </w:p>
    <w:p w14:paraId="47E1C1DE">
      <w:pPr>
        <w:widowControl/>
        <w:spacing w:line="578" w:lineRule="exact"/>
        <w:rPr>
          <w:rFonts w:eastAsia="Times New Roman"/>
          <w:kern w:val="0"/>
          <w:sz w:val="32"/>
          <w:szCs w:val="32"/>
          <w:u w:val="none" w:color="auto"/>
        </w:rPr>
      </w:pPr>
      <w:r>
        <w:rPr>
          <w:rFonts w:ascii="仿宋_GB2312" w:hAnsi="仿宋_GB2312" w:eastAsia="仿宋_GB2312" w:cs="仿宋_GB2312"/>
          <w:b/>
          <w:bCs/>
          <w:color w:val="000000"/>
          <w:kern w:val="0"/>
          <w:sz w:val="32"/>
          <w:szCs w:val="32"/>
          <w:u w:val="none" w:color="auto"/>
        </w:rPr>
        <w:t>    （三）资本性支出</w:t>
      </w:r>
      <w:r>
        <w:rPr>
          <w:rFonts w:eastAsia="Times New Roman"/>
          <w:b/>
          <w:bCs/>
          <w:color w:val="000000"/>
          <w:kern w:val="0"/>
          <w:sz w:val="32"/>
          <w:szCs w:val="32"/>
          <w:u w:val="none" w:color="auto"/>
        </w:rPr>
        <w:t xml:space="preserve"> 0</w:t>
      </w:r>
      <w:r>
        <w:rPr>
          <w:rFonts w:ascii="仿宋_GB2312" w:hAnsi="仿宋_GB2312" w:eastAsia="仿宋_GB2312" w:cs="仿宋_GB2312"/>
          <w:b/>
          <w:bCs/>
          <w:color w:val="000000"/>
          <w:kern w:val="0"/>
          <w:sz w:val="32"/>
          <w:szCs w:val="32"/>
          <w:u w:val="none" w:color="auto"/>
        </w:rPr>
        <w:t>万元。</w:t>
      </w:r>
    </w:p>
    <w:p w14:paraId="35B7D8ED">
      <w:pPr>
        <w:widowControl/>
        <w:spacing w:line="578" w:lineRule="exact"/>
        <w:jc w:val="left"/>
        <w:rPr>
          <w:rFonts w:eastAsia="Times New Roman"/>
          <w:kern w:val="0"/>
          <w:sz w:val="32"/>
          <w:szCs w:val="32"/>
          <w:u w:val="none" w:color="auto"/>
        </w:rPr>
      </w:pPr>
      <w:r>
        <w:rPr>
          <w:rFonts w:ascii="Calibri" w:hAnsi="Calibri" w:eastAsia="Calibri" w:cs="Calibri"/>
          <w:b/>
          <w:bCs/>
          <w:kern w:val="0"/>
          <w:sz w:val="32"/>
          <w:szCs w:val="32"/>
          <w:u w:val="none" w:color="auto"/>
        </w:rPr>
        <w:t> </w:t>
      </w:r>
      <w:r>
        <w:rPr>
          <w:rFonts w:ascii="黑体" w:hAnsi="黑体" w:eastAsia="黑体" w:cs="黑体"/>
          <w:b/>
          <w:bCs/>
          <w:kern w:val="0"/>
          <w:sz w:val="32"/>
          <w:szCs w:val="32"/>
          <w:u w:val="none" w:color="auto"/>
        </w:rPr>
        <w:t xml:space="preserve"> </w:t>
      </w:r>
      <w:r>
        <w:rPr>
          <w:rFonts w:ascii="Calibri" w:hAnsi="Calibri" w:eastAsia="Calibri" w:cs="Calibri"/>
          <w:b/>
          <w:bCs/>
          <w:kern w:val="0"/>
          <w:sz w:val="32"/>
          <w:szCs w:val="32"/>
          <w:u w:val="none" w:color="auto"/>
        </w:rPr>
        <w:t> </w:t>
      </w:r>
      <w:r>
        <w:rPr>
          <w:rFonts w:ascii="黑体" w:hAnsi="黑体" w:eastAsia="黑体" w:cs="黑体"/>
          <w:b/>
          <w:bCs/>
          <w:kern w:val="0"/>
          <w:sz w:val="32"/>
          <w:szCs w:val="32"/>
          <w:u w:val="none" w:color="auto"/>
        </w:rPr>
        <w:t xml:space="preserve"> 八、财政拨款“三公”经费支出决算情况说明</w:t>
      </w:r>
    </w:p>
    <w:p w14:paraId="6AC78DCE">
      <w:pPr>
        <w:widowControl/>
        <w:spacing w:line="578" w:lineRule="exact"/>
        <w:jc w:val="left"/>
        <w:rPr>
          <w:rFonts w:ascii="楷体" w:hAnsi="楷体" w:eastAsia="楷体" w:cs="楷体"/>
          <w:kern w:val="0"/>
          <w:sz w:val="32"/>
          <w:szCs w:val="32"/>
          <w:u w:val="none" w:color="auto"/>
        </w:rPr>
      </w:pPr>
      <w:r>
        <w:rPr>
          <w:rFonts w:ascii="kai_ti_gb2312" w:hAnsi="kai_ti_gb2312" w:eastAsia="kai_ti_gb2312" w:cs="kai_ti_gb2312"/>
          <w:b/>
          <w:bCs/>
          <w:kern w:val="0"/>
          <w:sz w:val="32"/>
          <w:szCs w:val="32"/>
          <w:u w:val="none" w:color="auto"/>
        </w:rPr>
        <w:t xml:space="preserve">    </w:t>
      </w:r>
      <w:r>
        <w:rPr>
          <w:rFonts w:hint="eastAsia" w:ascii="楷体" w:hAnsi="楷体" w:eastAsia="楷体" w:cs="楷体"/>
          <w:b/>
          <w:bCs/>
          <w:kern w:val="0"/>
          <w:sz w:val="32"/>
          <w:szCs w:val="32"/>
          <w:u w:val="none" w:color="auto"/>
        </w:rPr>
        <w:t>（一）财政拨款“三公”经费支出总体情况说明。</w:t>
      </w:r>
    </w:p>
    <w:p w14:paraId="0D544BB7">
      <w:pPr>
        <w:widowControl/>
        <w:spacing w:line="578" w:lineRule="exact"/>
        <w:rPr>
          <w:rFonts w:eastAsia="Times New Roman"/>
          <w:kern w:val="0"/>
          <w:sz w:val="32"/>
          <w:szCs w:val="32"/>
          <w:u w:val="none" w:color="auto"/>
        </w:rPr>
      </w:pPr>
      <w:r>
        <w:rPr>
          <w:rFonts w:ascii="仿宋_GB2312" w:hAnsi="仿宋_GB2312" w:eastAsia="仿宋_GB2312" w:cs="仿宋_GB2312"/>
          <w:kern w:val="0"/>
          <w:sz w:val="32"/>
          <w:szCs w:val="32"/>
          <w:u w:val="none" w:color="auto"/>
        </w:rPr>
        <w:t>   </w:t>
      </w:r>
      <w:r>
        <w:rPr>
          <w:rFonts w:hint="eastAsia" w:ascii="仿宋" w:hAnsi="仿宋" w:eastAsia="仿宋" w:cs="仿宋"/>
          <w:kern w:val="0"/>
          <w:sz w:val="32"/>
          <w:szCs w:val="32"/>
          <w:u w:val="none" w:color="auto"/>
        </w:rPr>
        <w:t xml:space="preserve"> </w:t>
      </w:r>
      <w:r>
        <w:rPr>
          <w:rFonts w:hint="eastAsia" w:ascii="仿宋" w:hAnsi="仿宋" w:eastAsia="仿宋" w:cs="仿宋"/>
          <w:color w:val="000000"/>
          <w:kern w:val="0"/>
          <w:sz w:val="32"/>
          <w:szCs w:val="32"/>
          <w:u w:val="none" w:color="auto"/>
        </w:rPr>
        <w:t>内蒙古自治区包头市住房和城乡建设局综合保障中心 2024年度财政拨款“三公”经费全年预算 2.50万元，支出决算 2.50万元，完成预算的 100.00%。其中：因公出国（境）费全年预算 0万元，支出决算 0万元，完成预算的 0%；公务用车购置及运行维护费全年预算 2.50万元，支出决算 2.50万元，完成预算的 100.00%；公务接待费全年预算 0万元，支出决算 0万元，完成预算的 0%。2024年度一般公共预算财政拨款“三公”经费全年预算 2.50万元，支出决算 2.50万元，与预算不存在差异。</w:t>
      </w:r>
    </w:p>
    <w:p w14:paraId="1D57B8B7">
      <w:pPr>
        <w:widowControl/>
        <w:spacing w:line="578" w:lineRule="exact"/>
        <w:jc w:val="left"/>
        <w:rPr>
          <w:rFonts w:ascii="楷体" w:hAnsi="楷体" w:eastAsia="楷体" w:cs="楷体"/>
          <w:kern w:val="0"/>
          <w:sz w:val="32"/>
          <w:szCs w:val="32"/>
          <w:u w:val="none" w:color="auto"/>
        </w:rPr>
      </w:pPr>
      <w:r>
        <w:rPr>
          <w:rFonts w:ascii="kai_ti_gb2312" w:hAnsi="kai_ti_gb2312" w:eastAsia="kai_ti_gb2312" w:cs="kai_ti_gb2312"/>
          <w:b/>
          <w:bCs/>
          <w:kern w:val="0"/>
          <w:sz w:val="32"/>
          <w:szCs w:val="32"/>
          <w:u w:val="none" w:color="auto"/>
        </w:rPr>
        <w:t>   </w:t>
      </w:r>
      <w:r>
        <w:rPr>
          <w:rFonts w:hint="eastAsia" w:ascii="楷体" w:hAnsi="楷体" w:eastAsia="楷体" w:cs="楷体"/>
          <w:b/>
          <w:bCs/>
          <w:kern w:val="0"/>
          <w:sz w:val="32"/>
          <w:szCs w:val="32"/>
          <w:u w:val="none" w:color="auto"/>
        </w:rPr>
        <w:t xml:space="preserve"> （二）财政拨款“三公”经费支出具体情况说明。</w:t>
      </w:r>
    </w:p>
    <w:p w14:paraId="02BA4726">
      <w:pPr>
        <w:widowControl/>
        <w:spacing w:line="578" w:lineRule="exact"/>
        <w:rPr>
          <w:rFonts w:eastAsia="Times New Roman"/>
          <w:kern w:val="0"/>
          <w:sz w:val="32"/>
          <w:szCs w:val="32"/>
          <w:u w:val="none" w:color="auto"/>
        </w:rPr>
      </w:pPr>
      <w:r>
        <w:rPr>
          <w:rFonts w:ascii="仿宋_GB2312" w:hAnsi="仿宋_GB2312" w:eastAsia="仿宋_GB2312" w:cs="仿宋_GB2312"/>
          <w:kern w:val="0"/>
          <w:sz w:val="32"/>
          <w:szCs w:val="32"/>
          <w:u w:val="none" w:color="auto"/>
        </w:rPr>
        <w:t xml:space="preserve">    </w:t>
      </w:r>
      <w:r>
        <w:rPr>
          <w:rFonts w:hint="eastAsia" w:ascii="仿宋" w:hAnsi="仿宋" w:eastAsia="仿宋" w:cs="仿宋"/>
          <w:color w:val="000000"/>
          <w:kern w:val="0"/>
          <w:sz w:val="32"/>
          <w:szCs w:val="32"/>
          <w:u w:val="none" w:color="auto"/>
        </w:rPr>
        <w:t>内蒙古自治区包头市住房和城乡建设局综合保障中心 2024年度财政拨款“三公”经费支出 2.50万元。因公出国（境）费支出 0万元，占 0%；公务用车购置及运行维护费支出 2.50万元，占 100.00%；公务接待费支出 0万元，占 0%。其中：</w:t>
      </w:r>
    </w:p>
    <w:p w14:paraId="6C1CCB02">
      <w:pPr>
        <w:widowControl/>
        <w:spacing w:line="578" w:lineRule="exact"/>
        <w:rPr>
          <w:rFonts w:ascii="仿宋" w:hAnsi="仿宋" w:eastAsia="仿宋" w:cs="仿宋"/>
          <w:kern w:val="0"/>
          <w:sz w:val="32"/>
          <w:szCs w:val="32"/>
          <w:u w:val="none" w:color="auto"/>
        </w:rPr>
      </w:pPr>
      <w:r>
        <w:rPr>
          <w:rFonts w:ascii="仿宋_GB2312" w:hAnsi="仿宋_GB2312" w:eastAsia="仿宋_GB2312" w:cs="仿宋_GB2312"/>
          <w:color w:val="000000"/>
          <w:kern w:val="0"/>
          <w:sz w:val="32"/>
          <w:szCs w:val="32"/>
          <w:u w:val="none" w:color="auto"/>
        </w:rPr>
        <w:t>   </w:t>
      </w:r>
      <w:r>
        <w:rPr>
          <w:rFonts w:hint="eastAsia" w:ascii="仿宋_GB2312" w:hAnsi="仿宋_GB2312" w:eastAsia="仿宋_GB2312" w:cs="仿宋_GB2312"/>
          <w:color w:val="000000"/>
          <w:kern w:val="0"/>
          <w:sz w:val="32"/>
          <w:szCs w:val="32"/>
          <w:u w:val="none" w:color="auto"/>
        </w:rPr>
        <w:t xml:space="preserve"> </w:t>
      </w:r>
      <w:r>
        <w:rPr>
          <w:rFonts w:hint="eastAsia" w:ascii="仿宋" w:hAnsi="仿宋" w:eastAsia="仿宋" w:cs="仿宋"/>
          <w:color w:val="000000"/>
          <w:kern w:val="0"/>
          <w:sz w:val="32"/>
          <w:szCs w:val="32"/>
          <w:u w:val="none" w:color="auto"/>
        </w:rPr>
        <w:t> 1.因公出国（境）费支出 0万元，全年出国（境）团组0 个，累计0 人次。与上年决算相比，增加（减少） 0万元，增长（下降） 0%，变动原因：</w:t>
      </w:r>
      <w:r>
        <w:rPr>
          <w:rFonts w:hint="eastAsia" w:ascii="仿宋" w:hAnsi="仿宋" w:eastAsia="仿宋" w:cs="仿宋"/>
          <w:kern w:val="0"/>
          <w:sz w:val="32"/>
          <w:szCs w:val="32"/>
          <w:u w:val="none" w:color="auto"/>
        </w:rPr>
        <w:t>不存在此项支出</w:t>
      </w:r>
      <w:r>
        <w:rPr>
          <w:rFonts w:hint="eastAsia" w:ascii="仿宋" w:hAnsi="仿宋" w:eastAsia="仿宋" w:cs="仿宋"/>
          <w:color w:val="000000"/>
          <w:kern w:val="0"/>
          <w:sz w:val="32"/>
          <w:szCs w:val="32"/>
          <w:u w:val="none" w:color="auto"/>
        </w:rPr>
        <w:t>。</w:t>
      </w:r>
    </w:p>
    <w:p w14:paraId="33D323B1">
      <w:pPr>
        <w:widowControl/>
        <w:spacing w:line="578" w:lineRule="exact"/>
        <w:rPr>
          <w:rFonts w:ascii="仿宋" w:hAnsi="仿宋" w:eastAsia="仿宋" w:cs="仿宋"/>
          <w:kern w:val="0"/>
          <w:sz w:val="32"/>
          <w:szCs w:val="32"/>
          <w:u w:val="none" w:color="auto"/>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u w:val="none" w:color="auto"/>
        </w:rPr>
        <w:t xml:space="preserve">    2.公务用车购置及运行维护费支出 2.50万元。其中：</w:t>
      </w:r>
    </w:p>
    <w:p w14:paraId="736A3512">
      <w:pPr>
        <w:widowControl/>
        <w:spacing w:line="578" w:lineRule="exact"/>
        <w:rPr>
          <w:rFonts w:ascii="仿宋" w:hAnsi="仿宋" w:eastAsia="仿宋" w:cs="仿宋"/>
          <w:kern w:val="0"/>
          <w:sz w:val="32"/>
          <w:szCs w:val="32"/>
          <w:u w:val="none" w:color="auto"/>
        </w:rPr>
      </w:pPr>
      <w:r>
        <w:rPr>
          <w:rFonts w:hint="eastAsia" w:ascii="仿宋" w:hAnsi="仿宋" w:eastAsia="仿宋" w:cs="仿宋"/>
          <w:color w:val="000000"/>
          <w:kern w:val="0"/>
          <w:sz w:val="32"/>
          <w:szCs w:val="32"/>
          <w:u w:val="none" w:color="auto"/>
        </w:rPr>
        <w:t>    （1）公务用车购置支出 0万元。本年度使用财政拨款购置公务用车0 辆，开支内容：</w:t>
      </w:r>
      <w:r>
        <w:rPr>
          <w:rFonts w:hint="eastAsia" w:ascii="仿宋" w:hAnsi="仿宋" w:eastAsia="仿宋" w:cs="仿宋"/>
          <w:kern w:val="0"/>
          <w:sz w:val="32"/>
          <w:szCs w:val="32"/>
          <w:u w:val="none" w:color="auto"/>
        </w:rPr>
        <w:t>不存在此项支出</w:t>
      </w:r>
      <w:r>
        <w:rPr>
          <w:rFonts w:hint="eastAsia" w:ascii="仿宋" w:hAnsi="仿宋" w:eastAsia="仿宋" w:cs="仿宋"/>
          <w:color w:val="000000"/>
          <w:kern w:val="0"/>
          <w:sz w:val="32"/>
          <w:szCs w:val="32"/>
          <w:u w:val="none" w:color="auto"/>
        </w:rPr>
        <w:t>。与上年决算相比，增加（减少） 0万元，增长（下降） 0%，变动原因：</w:t>
      </w:r>
      <w:r>
        <w:rPr>
          <w:rFonts w:hint="eastAsia" w:ascii="仿宋" w:hAnsi="仿宋" w:eastAsia="仿宋" w:cs="仿宋"/>
          <w:kern w:val="0"/>
          <w:sz w:val="32"/>
          <w:szCs w:val="32"/>
          <w:u w:val="none" w:color="auto"/>
        </w:rPr>
        <w:t>不存在此项支出</w:t>
      </w:r>
      <w:r>
        <w:rPr>
          <w:rFonts w:hint="eastAsia" w:ascii="仿宋" w:hAnsi="仿宋" w:eastAsia="仿宋" w:cs="仿宋"/>
          <w:color w:val="000000"/>
          <w:kern w:val="0"/>
          <w:sz w:val="32"/>
          <w:szCs w:val="32"/>
          <w:u w:val="none" w:color="auto"/>
        </w:rPr>
        <w:t>。</w:t>
      </w:r>
    </w:p>
    <w:p w14:paraId="179DDCDA">
      <w:pPr>
        <w:widowControl/>
        <w:spacing w:line="578" w:lineRule="exact"/>
        <w:rPr>
          <w:rFonts w:ascii="仿宋" w:hAnsi="仿宋" w:eastAsia="仿宋" w:cs="仿宋"/>
          <w:kern w:val="0"/>
          <w:sz w:val="32"/>
          <w:szCs w:val="32"/>
          <w:u w:val="none" w:color="auto"/>
        </w:rPr>
      </w:pPr>
      <w:r>
        <w:rPr>
          <w:rFonts w:hint="eastAsia" w:ascii="仿宋" w:hAnsi="仿宋" w:eastAsia="仿宋" w:cs="仿宋"/>
          <w:color w:val="000000"/>
          <w:kern w:val="0"/>
          <w:sz w:val="32"/>
          <w:szCs w:val="32"/>
          <w:u w:val="none" w:color="auto"/>
        </w:rPr>
        <w:t>    （2）公务用车运行维护费支出 2.50万元。公务用车运行维护费主要用于按规定保留的公务用车的燃料费、维修费、过桥过路费、保险费、安全奖励费用等支出。截至2024年12月31日，使用财政拨款开支的公务用车保有量为1 辆。与上年决算相比，增加（减少）0.00万元，增长（下降）0.00%，变动原因：</w:t>
      </w:r>
      <w:r>
        <w:rPr>
          <w:rFonts w:hint="eastAsia" w:ascii="仿宋" w:hAnsi="仿宋" w:eastAsia="仿宋" w:cs="仿宋"/>
          <w:kern w:val="0"/>
          <w:sz w:val="32"/>
          <w:szCs w:val="32"/>
          <w:u w:val="none" w:color="auto"/>
        </w:rPr>
        <w:t>不存在此项支出</w:t>
      </w:r>
      <w:r>
        <w:rPr>
          <w:rFonts w:hint="eastAsia" w:ascii="仿宋" w:hAnsi="仿宋" w:eastAsia="仿宋" w:cs="仿宋"/>
          <w:color w:val="000000"/>
          <w:kern w:val="0"/>
          <w:sz w:val="32"/>
          <w:szCs w:val="32"/>
          <w:u w:val="none" w:color="auto"/>
        </w:rPr>
        <w:t>。</w:t>
      </w:r>
    </w:p>
    <w:p w14:paraId="089C8549">
      <w:pPr>
        <w:widowControl/>
        <w:spacing w:line="578" w:lineRule="exact"/>
        <w:rPr>
          <w:rFonts w:eastAsia="Times New Roman"/>
          <w:kern w:val="0"/>
          <w:sz w:val="32"/>
          <w:szCs w:val="32"/>
          <w:u w:val="none" w:color="auto"/>
        </w:rPr>
      </w:pPr>
      <w:r>
        <w:rPr>
          <w:rFonts w:hint="eastAsia" w:ascii="仿宋" w:hAnsi="仿宋" w:eastAsia="仿宋" w:cs="仿宋"/>
          <w:color w:val="000000"/>
          <w:kern w:val="0"/>
          <w:sz w:val="32"/>
          <w:szCs w:val="32"/>
          <w:u w:val="none" w:color="auto"/>
        </w:rPr>
        <w:t>    3.公务接待费支出 0万元。其中：国内公务接待支出 0万元，接待0 批次，0 人次，开支内容：</w:t>
      </w:r>
      <w:r>
        <w:rPr>
          <w:rFonts w:hint="eastAsia" w:ascii="仿宋" w:hAnsi="仿宋" w:eastAsia="仿宋" w:cs="仿宋"/>
          <w:kern w:val="0"/>
          <w:sz w:val="32"/>
          <w:szCs w:val="32"/>
          <w:u w:val="none" w:color="auto"/>
        </w:rPr>
        <w:t>不存在此项支出</w:t>
      </w:r>
      <w:r>
        <w:rPr>
          <w:rFonts w:hint="eastAsia" w:ascii="仿宋" w:hAnsi="仿宋" w:eastAsia="仿宋" w:cs="仿宋"/>
          <w:color w:val="000000"/>
          <w:kern w:val="0"/>
          <w:sz w:val="32"/>
          <w:szCs w:val="32"/>
          <w:u w:val="none" w:color="auto"/>
        </w:rPr>
        <w:t>；国（境）外公务接待支出 0万元，接待0 批次，0 人次，开支内容：</w:t>
      </w:r>
      <w:r>
        <w:rPr>
          <w:rFonts w:hint="eastAsia" w:ascii="仿宋" w:hAnsi="仿宋" w:eastAsia="仿宋" w:cs="仿宋"/>
          <w:kern w:val="0"/>
          <w:sz w:val="32"/>
          <w:szCs w:val="32"/>
          <w:u w:val="none" w:color="auto"/>
        </w:rPr>
        <w:t>不存在此项支出</w:t>
      </w:r>
      <w:r>
        <w:rPr>
          <w:rFonts w:hint="eastAsia" w:ascii="仿宋" w:hAnsi="仿宋" w:eastAsia="仿宋" w:cs="仿宋"/>
          <w:color w:val="000000"/>
          <w:kern w:val="0"/>
          <w:sz w:val="32"/>
          <w:szCs w:val="32"/>
          <w:u w:val="none" w:color="auto"/>
        </w:rPr>
        <w:t>。与上年决算相比，增加（减少） 0万元，增长（下降） 0%，变动原因：</w:t>
      </w:r>
      <w:r>
        <w:rPr>
          <w:rFonts w:hint="eastAsia" w:ascii="仿宋" w:hAnsi="仿宋" w:eastAsia="仿宋" w:cs="仿宋"/>
          <w:kern w:val="0"/>
          <w:sz w:val="32"/>
          <w:szCs w:val="32"/>
          <w:u w:val="none" w:color="auto"/>
        </w:rPr>
        <w:t>不存在此项支出</w:t>
      </w:r>
      <w:r>
        <w:rPr>
          <w:rFonts w:hint="eastAsia" w:ascii="仿宋" w:hAnsi="仿宋" w:eastAsia="仿宋" w:cs="仿宋"/>
          <w:color w:val="000000"/>
          <w:kern w:val="0"/>
          <w:sz w:val="32"/>
          <w:szCs w:val="32"/>
          <w:u w:val="none" w:color="auto"/>
        </w:rPr>
        <w:t>。</w:t>
      </w:r>
    </w:p>
    <w:p w14:paraId="76550562">
      <w:pPr>
        <w:widowControl/>
        <w:spacing w:line="578" w:lineRule="exact"/>
        <w:ind w:firstLine="643" w:firstLineChars="200"/>
        <w:jc w:val="left"/>
        <w:rPr>
          <w:rFonts w:ascii="黑体" w:hAnsi="黑体" w:eastAsia="黑体" w:cs="黑体"/>
          <w:b/>
          <w:bCs/>
          <w:kern w:val="0"/>
          <w:sz w:val="32"/>
          <w:szCs w:val="32"/>
          <w:u w:val="none" w:color="auto"/>
        </w:rPr>
      </w:pPr>
      <w:r>
        <w:rPr>
          <w:rFonts w:ascii="黑体" w:hAnsi="黑体" w:eastAsia="黑体" w:cs="黑体"/>
          <w:b/>
          <w:bCs/>
          <w:kern w:val="0"/>
          <w:sz w:val="32"/>
          <w:szCs w:val="32"/>
          <w:u w:val="none" w:color="auto"/>
        </w:rPr>
        <w:t>九、政府性基金预算财政拨款支出决算情况说明</w:t>
      </w:r>
    </w:p>
    <w:p w14:paraId="5D78AE1A">
      <w:pPr>
        <w:widowControl/>
        <w:spacing w:line="578" w:lineRule="exact"/>
        <w:ind w:firstLine="640" w:firstLineChars="200"/>
        <w:jc w:val="left"/>
        <w:rPr>
          <w:rFonts w:eastAsia="Times New Roman"/>
          <w:kern w:val="0"/>
          <w:sz w:val="32"/>
          <w:szCs w:val="32"/>
          <w:u w:val="none" w:color="auto"/>
        </w:rPr>
      </w:pPr>
      <w:r>
        <w:rPr>
          <w:rFonts w:hint="eastAsia" w:ascii="仿宋" w:hAnsi="仿宋" w:eastAsia="仿宋" w:cs="仿宋"/>
          <w:color w:val="000000"/>
          <w:kern w:val="0"/>
          <w:sz w:val="32"/>
          <w:szCs w:val="32"/>
          <w:u w:val="none" w:color="auto"/>
        </w:rPr>
        <w:t>内蒙古自治区包头市住房和城乡建设局综合保障中心2024年度政府性基金预算财政拨款支出决算 0万元。与上年决算相比，增加（减少） 0万元，增长（下降） 0%，变动原因：</w:t>
      </w:r>
      <w:r>
        <w:rPr>
          <w:rFonts w:hint="eastAsia" w:ascii="仿宋" w:hAnsi="仿宋" w:eastAsia="仿宋" w:cs="仿宋"/>
          <w:kern w:val="0"/>
          <w:sz w:val="32"/>
          <w:szCs w:val="32"/>
          <w:u w:val="none" w:color="auto"/>
        </w:rPr>
        <w:t>本年无政府性基金预算财政拨款收、支、余</w:t>
      </w:r>
      <w:r>
        <w:rPr>
          <w:rFonts w:hint="eastAsia" w:ascii="仿宋" w:hAnsi="仿宋" w:eastAsia="仿宋" w:cs="仿宋"/>
          <w:color w:val="000000"/>
          <w:kern w:val="0"/>
          <w:sz w:val="32"/>
          <w:szCs w:val="32"/>
          <w:u w:val="none" w:color="auto"/>
        </w:rPr>
        <w:t>。</w:t>
      </w:r>
    </w:p>
    <w:p w14:paraId="1269D733">
      <w:pPr>
        <w:widowControl/>
        <w:spacing w:line="578" w:lineRule="exact"/>
        <w:ind w:firstLine="643" w:firstLineChars="200"/>
        <w:jc w:val="left"/>
        <w:rPr>
          <w:rFonts w:eastAsia="Times New Roman"/>
          <w:kern w:val="0"/>
          <w:sz w:val="32"/>
          <w:szCs w:val="32"/>
          <w:u w:val="none" w:color="auto"/>
        </w:rPr>
      </w:pPr>
      <w:r>
        <w:rPr>
          <w:rFonts w:ascii="黑体" w:hAnsi="黑体" w:eastAsia="黑体" w:cs="黑体"/>
          <w:b/>
          <w:bCs/>
          <w:kern w:val="0"/>
          <w:sz w:val="32"/>
          <w:szCs w:val="32"/>
          <w:u w:val="none" w:color="auto"/>
        </w:rPr>
        <w:t>十、国有资本经营预算财政拨款支出决算情况说明</w:t>
      </w:r>
    </w:p>
    <w:p w14:paraId="756FCF41">
      <w:pPr>
        <w:widowControl/>
        <w:spacing w:line="578" w:lineRule="exact"/>
        <w:ind w:firstLine="640" w:firstLineChars="200"/>
        <w:rPr>
          <w:rFonts w:ascii="仿宋" w:hAnsi="仿宋" w:eastAsia="仿宋" w:cs="仿宋"/>
          <w:kern w:val="0"/>
          <w:sz w:val="32"/>
          <w:szCs w:val="32"/>
          <w:u w:val="none" w:color="auto"/>
        </w:rPr>
      </w:pPr>
      <w:r>
        <w:rPr>
          <w:rFonts w:hint="eastAsia" w:ascii="仿宋" w:hAnsi="仿宋" w:eastAsia="仿宋" w:cs="仿宋"/>
          <w:color w:val="000000"/>
          <w:kern w:val="0"/>
          <w:sz w:val="32"/>
          <w:szCs w:val="32"/>
          <w:u w:val="none" w:color="auto"/>
        </w:rPr>
        <w:t>内蒙古自治区包头市住房和城乡建设局综合保障中心 2024年度国有资本经营预算财政拨款支出决算 0万元。与上年决算相比，增加（减少） 0万元，增长（下降） 0%，变动原因：</w:t>
      </w:r>
      <w:r>
        <w:rPr>
          <w:rFonts w:hint="eastAsia" w:ascii="仿宋" w:hAnsi="仿宋" w:eastAsia="仿宋" w:cs="仿宋"/>
          <w:kern w:val="0"/>
          <w:sz w:val="32"/>
          <w:szCs w:val="32"/>
          <w:u w:val="none" w:color="auto"/>
        </w:rPr>
        <w:t>本年无国有资本经营预算财政拨款收、支、余。</w:t>
      </w:r>
    </w:p>
    <w:p w14:paraId="76B34266">
      <w:pPr>
        <w:widowControl/>
        <w:spacing w:line="578" w:lineRule="exact"/>
        <w:rPr>
          <w:rFonts w:eastAsia="Times New Roman"/>
          <w:kern w:val="0"/>
          <w:sz w:val="32"/>
          <w:szCs w:val="32"/>
          <w:u w:val="none" w:color="auto"/>
        </w:rPr>
      </w:pPr>
      <w:r>
        <w:rPr>
          <w:rFonts w:ascii="Calibri" w:hAnsi="Calibri" w:eastAsia="Calibri" w:cs="Calibri"/>
          <w:b/>
          <w:bCs/>
          <w:kern w:val="0"/>
          <w:sz w:val="32"/>
          <w:szCs w:val="32"/>
          <w:u w:val="none" w:color="auto"/>
        </w:rPr>
        <w:t> </w:t>
      </w:r>
      <w:r>
        <w:rPr>
          <w:rFonts w:ascii="黑体" w:hAnsi="黑体" w:eastAsia="黑体" w:cs="黑体"/>
          <w:b/>
          <w:bCs/>
          <w:kern w:val="0"/>
          <w:sz w:val="32"/>
          <w:szCs w:val="32"/>
          <w:u w:val="none" w:color="auto"/>
        </w:rPr>
        <w:t xml:space="preserve"> </w:t>
      </w:r>
      <w:r>
        <w:rPr>
          <w:rFonts w:ascii="Calibri" w:hAnsi="Calibri" w:eastAsia="Calibri" w:cs="Calibri"/>
          <w:b/>
          <w:bCs/>
          <w:kern w:val="0"/>
          <w:sz w:val="32"/>
          <w:szCs w:val="32"/>
          <w:u w:val="none" w:color="auto"/>
        </w:rPr>
        <w:t> </w:t>
      </w:r>
      <w:r>
        <w:rPr>
          <w:rFonts w:ascii="黑体" w:hAnsi="黑体" w:eastAsia="黑体" w:cs="黑体"/>
          <w:b/>
          <w:bCs/>
          <w:kern w:val="0"/>
          <w:sz w:val="32"/>
          <w:szCs w:val="32"/>
          <w:u w:val="none" w:color="auto"/>
        </w:rPr>
        <w:t xml:space="preserve"> 十一、机关运行经费（公用经费）支出决算情况说明</w:t>
      </w:r>
    </w:p>
    <w:p w14:paraId="270E5B1E">
      <w:pPr>
        <w:widowControl/>
        <w:spacing w:line="578" w:lineRule="exact"/>
        <w:rPr>
          <w:rFonts w:ascii="仿宋" w:hAnsi="仿宋" w:eastAsia="仿宋" w:cs="仿宋"/>
          <w:color w:val="000000"/>
          <w:kern w:val="0"/>
          <w:sz w:val="32"/>
          <w:szCs w:val="32"/>
          <w:u w:val="none" w:color="auto"/>
        </w:rPr>
      </w:pPr>
      <w:r>
        <w:rPr>
          <w:rFonts w:ascii="仿宋_GB2312" w:hAnsi="仿宋_GB2312" w:eastAsia="仿宋_GB2312" w:cs="仿宋_GB2312"/>
          <w:kern w:val="0"/>
          <w:sz w:val="32"/>
          <w:szCs w:val="32"/>
          <w:highlight w:val="none"/>
          <w:u w:val="none" w:color="auto"/>
        </w:rPr>
        <w:t>   </w:t>
      </w:r>
      <w:r>
        <w:rPr>
          <w:rFonts w:hint="eastAsia" w:ascii="仿宋" w:hAnsi="仿宋" w:eastAsia="仿宋" w:cs="仿宋"/>
          <w:kern w:val="0"/>
          <w:sz w:val="32"/>
          <w:szCs w:val="32"/>
          <w:highlight w:val="none"/>
          <w:u w:val="none" w:color="auto"/>
        </w:rPr>
        <w:t xml:space="preserve"> </w:t>
      </w:r>
      <w:r>
        <w:rPr>
          <w:rFonts w:hint="eastAsia" w:ascii="仿宋" w:hAnsi="仿宋" w:eastAsia="仿宋" w:cs="仿宋"/>
          <w:color w:val="000000"/>
          <w:kern w:val="0"/>
          <w:sz w:val="32"/>
          <w:szCs w:val="32"/>
          <w:highlight w:val="none"/>
          <w:u w:val="none" w:color="auto"/>
        </w:rPr>
        <w:t>内蒙古自治区包头市住房和城乡建设局综合保障中心 2024年度公用经费支出决算 29.62万元，与</w:t>
      </w:r>
      <w:r>
        <w:rPr>
          <w:rFonts w:hint="eastAsia" w:ascii="仿宋" w:hAnsi="仿宋" w:eastAsia="仿宋" w:cs="仿宋"/>
          <w:color w:val="000000"/>
          <w:kern w:val="0"/>
          <w:sz w:val="32"/>
          <w:szCs w:val="32"/>
          <w:u w:val="none" w:color="auto"/>
        </w:rPr>
        <w:t>上年决算相比，增加6.07万元，增长25.75%，变动原因：本年新增入职人员相应公用经费支出增加。其中，机关运行经费支出决算 0万元。比上年决算相比，增加（减少）0万元，增长（下降） 0%，变动原因：我单位类型为公益一类单位，无机关运行经费支出。</w:t>
      </w:r>
    </w:p>
    <w:p w14:paraId="035CCF8A">
      <w:pPr>
        <w:widowControl/>
        <w:numPr>
          <w:ilvl w:val="0"/>
          <w:numId w:val="1"/>
        </w:numPr>
        <w:spacing w:line="578" w:lineRule="exact"/>
        <w:rPr>
          <w:rFonts w:ascii="黑体" w:hAnsi="黑体" w:eastAsia="黑体" w:cs="黑体"/>
          <w:b/>
          <w:bCs/>
          <w:kern w:val="0"/>
          <w:sz w:val="32"/>
          <w:szCs w:val="32"/>
          <w:u w:val="none" w:color="auto"/>
        </w:rPr>
      </w:pPr>
      <w:r>
        <w:rPr>
          <w:rFonts w:ascii="黑体" w:hAnsi="黑体" w:eastAsia="黑体" w:cs="黑体"/>
          <w:b/>
          <w:bCs/>
          <w:kern w:val="0"/>
          <w:sz w:val="32"/>
          <w:szCs w:val="32"/>
          <w:u w:val="none" w:color="auto"/>
        </w:rPr>
        <w:t>政府采购支出决算情况说明</w:t>
      </w:r>
    </w:p>
    <w:p w14:paraId="7F073A9E">
      <w:pPr>
        <w:widowControl/>
        <w:spacing w:line="578" w:lineRule="exact"/>
        <w:ind w:firstLine="640" w:firstLineChars="200"/>
        <w:rPr>
          <w:rFonts w:eastAsia="Times New Roman"/>
          <w:kern w:val="0"/>
          <w:sz w:val="32"/>
          <w:szCs w:val="32"/>
          <w:u w:val="none" w:color="auto"/>
        </w:rPr>
      </w:pPr>
      <w:r>
        <w:rPr>
          <w:rFonts w:hint="eastAsia" w:ascii="仿宋" w:hAnsi="仿宋" w:eastAsia="仿宋" w:cs="仿宋"/>
          <w:color w:val="000000"/>
          <w:kern w:val="0"/>
          <w:sz w:val="32"/>
          <w:szCs w:val="32"/>
          <w:u w:val="none" w:color="auto"/>
        </w:rPr>
        <w:t>内蒙古自治区包头市住房和城乡建设局综合保障中心 2024年度政府采购支出总额 6.76万元，其中：政府采购货物支出 1.67万元、政府采购工程支出 0万元、政府采购服务支出 5.09万元。政府采购授予中小企业合同金额 3.01万元，占政府采购支出总额的44.53%，其中：授予小微企业合同金额 </w:t>
      </w:r>
      <w:bookmarkStart w:id="1" w:name="_GoBack"/>
      <w:bookmarkEnd w:id="1"/>
      <w:r>
        <w:rPr>
          <w:rFonts w:hint="eastAsia" w:ascii="仿宋" w:hAnsi="仿宋" w:eastAsia="仿宋" w:cs="仿宋"/>
          <w:color w:val="000000"/>
          <w:kern w:val="0"/>
          <w:sz w:val="32"/>
          <w:szCs w:val="32"/>
          <w:u w:val="none" w:color="auto"/>
        </w:rPr>
        <w:t>1.36万元，占政府采购支出总额的20.12%；货物采购授予中小企业合同金额占货物支出金额的0%，工程采购授予中小企业合同金额占工程支出金额的0%，服务采购授予中小企业合同金额占服务支出金额的0%。</w:t>
      </w:r>
    </w:p>
    <w:p w14:paraId="6EF4D1B5">
      <w:pPr>
        <w:widowControl/>
        <w:spacing w:line="578" w:lineRule="exact"/>
        <w:jc w:val="left"/>
        <w:rPr>
          <w:rFonts w:eastAsia="Times New Roman"/>
          <w:kern w:val="0"/>
          <w:sz w:val="32"/>
          <w:szCs w:val="32"/>
          <w:u w:val="none" w:color="auto"/>
        </w:rPr>
      </w:pPr>
      <w:r>
        <w:rPr>
          <w:rFonts w:ascii="Calibri" w:hAnsi="Calibri" w:eastAsia="Calibri" w:cs="Calibri"/>
          <w:b/>
          <w:bCs/>
          <w:kern w:val="0"/>
          <w:sz w:val="32"/>
          <w:szCs w:val="32"/>
          <w:u w:val="none" w:color="auto"/>
        </w:rPr>
        <w:t> </w:t>
      </w:r>
      <w:r>
        <w:rPr>
          <w:rFonts w:ascii="黑体" w:hAnsi="黑体" w:eastAsia="黑体" w:cs="黑体"/>
          <w:b/>
          <w:bCs/>
          <w:kern w:val="0"/>
          <w:sz w:val="32"/>
          <w:szCs w:val="32"/>
          <w:u w:val="none" w:color="auto"/>
        </w:rPr>
        <w:t xml:space="preserve"> </w:t>
      </w:r>
      <w:r>
        <w:rPr>
          <w:rFonts w:ascii="Calibri" w:hAnsi="Calibri" w:eastAsia="Calibri" w:cs="Calibri"/>
          <w:b/>
          <w:bCs/>
          <w:kern w:val="0"/>
          <w:sz w:val="32"/>
          <w:szCs w:val="32"/>
          <w:u w:val="none" w:color="auto"/>
        </w:rPr>
        <w:t> </w:t>
      </w:r>
      <w:r>
        <w:rPr>
          <w:rFonts w:ascii="黑体" w:hAnsi="黑体" w:eastAsia="黑体" w:cs="黑体"/>
          <w:b/>
          <w:bCs/>
          <w:kern w:val="0"/>
          <w:sz w:val="32"/>
          <w:szCs w:val="32"/>
          <w:u w:val="none" w:color="auto"/>
        </w:rPr>
        <w:t xml:space="preserve"> 十三、国有资产占用情况说明</w:t>
      </w:r>
    </w:p>
    <w:p w14:paraId="0F659994">
      <w:pPr>
        <w:widowControl/>
        <w:spacing w:line="578" w:lineRule="exact"/>
        <w:rPr>
          <w:rFonts w:eastAsia="仿宋"/>
          <w:kern w:val="0"/>
          <w:sz w:val="32"/>
          <w:szCs w:val="32"/>
          <w:u w:val="none" w:color="auto"/>
        </w:rPr>
      </w:pPr>
      <w:r>
        <w:rPr>
          <w:rFonts w:ascii="仿宋_GB2312" w:hAnsi="仿宋_GB2312" w:eastAsia="仿宋_GB2312" w:cs="仿宋_GB2312"/>
          <w:kern w:val="0"/>
          <w:sz w:val="32"/>
          <w:szCs w:val="32"/>
          <w:u w:val="none" w:color="auto"/>
        </w:rPr>
        <w:t>   </w:t>
      </w:r>
      <w:r>
        <w:rPr>
          <w:rFonts w:hint="eastAsia" w:ascii="仿宋" w:hAnsi="仿宋" w:eastAsia="仿宋" w:cs="仿宋"/>
          <w:color w:val="000000"/>
          <w:kern w:val="0"/>
          <w:sz w:val="32"/>
          <w:szCs w:val="32"/>
          <w:u w:val="none" w:color="auto"/>
        </w:rPr>
        <w:t xml:space="preserve"> 内蒙古自治区包头市住房和城乡建设局综合保障中心 截至2024年12月31日，本部门（单位）共有车辆 1辆，其中：副部（省）级及以上领导用车0 辆、主要负责人用车 0辆、机要通信用车 0辆、应急保障用车 1辆、执法执勤用车 0辆、特种专业技术用车 0辆、离退休干部服务用车 0辆，其他用车 0辆；单价100万元（含）以上的设备（不含车辆） 0台（套）。</w:t>
      </w:r>
    </w:p>
    <w:p w14:paraId="1CC1EEA7">
      <w:pPr>
        <w:widowControl/>
        <w:spacing w:line="578" w:lineRule="exact"/>
        <w:jc w:val="left"/>
        <w:rPr>
          <w:rFonts w:eastAsia="Times New Roman"/>
          <w:color w:val="auto"/>
          <w:kern w:val="0"/>
          <w:sz w:val="32"/>
          <w:szCs w:val="32"/>
          <w:u w:val="none" w:color="auto"/>
        </w:rPr>
      </w:pPr>
      <w:r>
        <w:rPr>
          <w:rFonts w:ascii="Calibri" w:hAnsi="Calibri" w:eastAsia="Calibri" w:cs="Calibri"/>
          <w:b/>
          <w:bCs/>
          <w:kern w:val="0"/>
          <w:sz w:val="32"/>
          <w:szCs w:val="32"/>
          <w:u w:val="none" w:color="auto"/>
        </w:rPr>
        <w:t> </w:t>
      </w:r>
      <w:r>
        <w:rPr>
          <w:rFonts w:ascii="黑体" w:hAnsi="黑体" w:eastAsia="黑体" w:cs="黑体"/>
          <w:b/>
          <w:bCs/>
          <w:color w:val="FF0000"/>
          <w:kern w:val="0"/>
          <w:sz w:val="32"/>
          <w:szCs w:val="32"/>
          <w:u w:val="none" w:color="auto"/>
        </w:rPr>
        <w:t xml:space="preserve"> </w:t>
      </w:r>
      <w:r>
        <w:rPr>
          <w:rFonts w:ascii="Calibri" w:hAnsi="Calibri" w:eastAsia="Calibri" w:cs="Calibri"/>
          <w:b/>
          <w:bCs/>
          <w:color w:val="FF0000"/>
          <w:kern w:val="0"/>
          <w:sz w:val="32"/>
          <w:szCs w:val="32"/>
          <w:u w:val="none" w:color="auto"/>
        </w:rPr>
        <w:t> </w:t>
      </w:r>
      <w:r>
        <w:rPr>
          <w:rFonts w:ascii="黑体" w:hAnsi="黑体" w:eastAsia="黑体" w:cs="黑体"/>
          <w:b/>
          <w:bCs/>
          <w:color w:val="auto"/>
          <w:kern w:val="0"/>
          <w:sz w:val="32"/>
          <w:szCs w:val="32"/>
          <w:u w:val="none" w:color="auto"/>
        </w:rPr>
        <w:t xml:space="preserve"> 十四、预算绩效情况说明</w:t>
      </w:r>
    </w:p>
    <w:p w14:paraId="5AA47AD4">
      <w:pPr>
        <w:widowControl/>
        <w:spacing w:line="578" w:lineRule="exact"/>
        <w:jc w:val="left"/>
        <w:rPr>
          <w:rFonts w:ascii="楷体" w:hAnsi="楷体" w:eastAsia="楷体" w:cs="楷体"/>
          <w:color w:val="auto"/>
          <w:kern w:val="0"/>
          <w:sz w:val="32"/>
          <w:szCs w:val="32"/>
          <w:u w:val="none" w:color="auto"/>
        </w:rPr>
      </w:pPr>
      <w:r>
        <w:rPr>
          <w:rFonts w:ascii="kai_ti_gb2312" w:hAnsi="kai_ti_gb2312" w:eastAsia="kai_ti_gb2312" w:cs="kai_ti_gb2312"/>
          <w:b/>
          <w:bCs/>
          <w:color w:val="auto"/>
          <w:kern w:val="0"/>
          <w:sz w:val="32"/>
          <w:szCs w:val="32"/>
          <w:u w:val="none" w:color="auto"/>
        </w:rPr>
        <w:t>   </w:t>
      </w:r>
      <w:r>
        <w:rPr>
          <w:rFonts w:hint="eastAsia" w:ascii="楷体" w:hAnsi="楷体" w:eastAsia="楷体" w:cs="楷体"/>
          <w:b/>
          <w:bCs/>
          <w:color w:val="auto"/>
          <w:kern w:val="0"/>
          <w:sz w:val="32"/>
          <w:szCs w:val="32"/>
          <w:u w:val="none" w:color="auto"/>
        </w:rPr>
        <w:t xml:space="preserve"> （一）预算绩效管理工作开展情况。</w:t>
      </w:r>
    </w:p>
    <w:p w14:paraId="6EDEBB4B">
      <w:pPr>
        <w:widowControl/>
        <w:spacing w:line="578" w:lineRule="exact"/>
        <w:rPr>
          <w:rFonts w:ascii="仿宋" w:hAnsi="仿宋" w:eastAsia="仿宋" w:cs="仿宋"/>
          <w:color w:val="auto"/>
          <w:kern w:val="0"/>
          <w:sz w:val="32"/>
          <w:szCs w:val="32"/>
          <w:u w:val="none" w:color="auto"/>
        </w:rPr>
      </w:pPr>
      <w:r>
        <w:rPr>
          <w:rFonts w:ascii="仿宋_GB2312" w:hAnsi="仿宋_GB2312" w:eastAsia="仿宋_GB2312" w:cs="仿宋_GB2312"/>
          <w:color w:val="auto"/>
          <w:kern w:val="0"/>
          <w:sz w:val="32"/>
          <w:szCs w:val="32"/>
          <w:u w:val="none" w:color="auto"/>
        </w:rPr>
        <w:t xml:space="preserve">    </w:t>
      </w:r>
      <w:r>
        <w:rPr>
          <w:rFonts w:hint="eastAsia" w:ascii="仿宋" w:hAnsi="仿宋" w:eastAsia="仿宋" w:cs="仿宋"/>
          <w:color w:val="auto"/>
          <w:kern w:val="0"/>
          <w:sz w:val="32"/>
          <w:szCs w:val="32"/>
          <w:u w:val="none" w:color="auto"/>
        </w:rPr>
        <w:t>内蒙古自治区包头市住房和城乡建设局综合保障中心根据预算绩效管理要求组织对2024年一般公共预算项目支出全面开展绩效自评，其中一级项目</w:t>
      </w:r>
      <w:r>
        <w:rPr>
          <w:rFonts w:hint="eastAsia" w:ascii="仿宋" w:hAnsi="仿宋" w:eastAsia="仿宋" w:cs="仿宋"/>
          <w:color w:val="auto"/>
          <w:kern w:val="0"/>
          <w:sz w:val="32"/>
          <w:szCs w:val="32"/>
          <w:u w:val="none" w:color="auto"/>
          <w:lang w:val="en-US" w:eastAsia="zh-CN"/>
        </w:rPr>
        <w:t>0</w:t>
      </w:r>
      <w:r>
        <w:rPr>
          <w:rFonts w:hint="eastAsia" w:ascii="仿宋" w:hAnsi="仿宋" w:eastAsia="仿宋" w:cs="仿宋"/>
          <w:color w:val="auto"/>
          <w:kern w:val="0"/>
          <w:sz w:val="32"/>
          <w:szCs w:val="32"/>
          <w:u w:val="none" w:color="auto"/>
        </w:rPr>
        <w:t>个，二级项目</w:t>
      </w:r>
      <w:r>
        <w:rPr>
          <w:rFonts w:hint="eastAsia" w:ascii="仿宋" w:hAnsi="仿宋" w:eastAsia="仿宋" w:cs="仿宋"/>
          <w:color w:val="auto"/>
          <w:kern w:val="0"/>
          <w:sz w:val="32"/>
          <w:szCs w:val="32"/>
          <w:u w:val="none" w:color="auto"/>
          <w:lang w:val="en-US" w:eastAsia="zh-CN"/>
        </w:rPr>
        <w:t>0</w:t>
      </w:r>
      <w:r>
        <w:rPr>
          <w:rFonts w:hint="eastAsia" w:ascii="仿宋" w:hAnsi="仿宋" w:eastAsia="仿宋" w:cs="仿宋"/>
          <w:color w:val="auto"/>
          <w:kern w:val="0"/>
          <w:sz w:val="32"/>
          <w:szCs w:val="32"/>
          <w:u w:val="none" w:color="auto"/>
        </w:rPr>
        <w:t>个，共涉及资金</w:t>
      </w:r>
      <w:r>
        <w:rPr>
          <w:rFonts w:hint="eastAsia" w:ascii="仿宋" w:hAnsi="仿宋" w:eastAsia="仿宋" w:cs="仿宋"/>
          <w:color w:val="auto"/>
          <w:kern w:val="0"/>
          <w:sz w:val="32"/>
          <w:szCs w:val="32"/>
          <w:u w:val="none" w:color="auto"/>
          <w:lang w:val="en-US" w:eastAsia="zh-CN"/>
        </w:rPr>
        <w:t>0</w:t>
      </w:r>
      <w:r>
        <w:rPr>
          <w:rFonts w:hint="eastAsia" w:ascii="仿宋" w:hAnsi="仿宋" w:eastAsia="仿宋" w:cs="仿宋"/>
          <w:color w:val="auto"/>
          <w:kern w:val="0"/>
          <w:sz w:val="32"/>
          <w:szCs w:val="32"/>
          <w:u w:val="none" w:color="auto"/>
        </w:rPr>
        <w:t>万元，占一般公共预算项目支出总额的</w:t>
      </w:r>
      <w:r>
        <w:rPr>
          <w:rFonts w:hint="eastAsia" w:ascii="仿宋" w:hAnsi="仿宋" w:eastAsia="仿宋" w:cs="仿宋"/>
          <w:color w:val="auto"/>
          <w:kern w:val="0"/>
          <w:sz w:val="32"/>
          <w:szCs w:val="32"/>
          <w:u w:val="none" w:color="auto"/>
          <w:lang w:val="en-US" w:eastAsia="zh-CN"/>
        </w:rPr>
        <w:t>0</w:t>
      </w:r>
      <w:r>
        <w:rPr>
          <w:rFonts w:hint="eastAsia" w:ascii="仿宋" w:hAnsi="仿宋" w:eastAsia="仿宋" w:cs="仿宋"/>
          <w:color w:val="auto"/>
          <w:kern w:val="0"/>
          <w:sz w:val="32"/>
          <w:szCs w:val="32"/>
          <w:u w:val="none" w:color="auto"/>
        </w:rPr>
        <w:t>%；政府性基金预算项目</w:t>
      </w:r>
      <w:r>
        <w:rPr>
          <w:rFonts w:hint="eastAsia" w:ascii="仿宋" w:hAnsi="仿宋" w:eastAsia="仿宋" w:cs="仿宋"/>
          <w:color w:val="auto"/>
          <w:kern w:val="0"/>
          <w:sz w:val="32"/>
          <w:szCs w:val="32"/>
          <w:u w:val="none" w:color="auto"/>
          <w:lang w:val="en-US" w:eastAsia="zh-CN"/>
        </w:rPr>
        <w:t>0</w:t>
      </w:r>
      <w:r>
        <w:rPr>
          <w:rFonts w:hint="eastAsia" w:ascii="仿宋" w:hAnsi="仿宋" w:eastAsia="仿宋" w:cs="仿宋"/>
          <w:color w:val="auto"/>
          <w:kern w:val="0"/>
          <w:sz w:val="32"/>
          <w:szCs w:val="32"/>
          <w:u w:val="none" w:color="auto"/>
        </w:rPr>
        <w:t>个，其中，一级项目 </w:t>
      </w:r>
      <w:r>
        <w:rPr>
          <w:rFonts w:hint="eastAsia" w:ascii="仿宋" w:hAnsi="仿宋" w:eastAsia="仿宋" w:cs="仿宋"/>
          <w:color w:val="auto"/>
          <w:kern w:val="0"/>
          <w:sz w:val="32"/>
          <w:szCs w:val="32"/>
          <w:u w:val="none" w:color="auto"/>
          <w:lang w:val="en-US" w:eastAsia="zh-CN"/>
        </w:rPr>
        <w:t>0</w:t>
      </w:r>
      <w:r>
        <w:rPr>
          <w:rFonts w:hint="eastAsia" w:ascii="仿宋" w:hAnsi="仿宋" w:eastAsia="仿宋" w:cs="仿宋"/>
          <w:color w:val="auto"/>
          <w:kern w:val="0"/>
          <w:sz w:val="32"/>
          <w:szCs w:val="32"/>
          <w:u w:val="none" w:color="auto"/>
        </w:rPr>
        <w:t>个，二级项目</w:t>
      </w:r>
      <w:r>
        <w:rPr>
          <w:rFonts w:hint="eastAsia" w:ascii="仿宋" w:hAnsi="仿宋" w:eastAsia="仿宋" w:cs="仿宋"/>
          <w:color w:val="auto"/>
          <w:kern w:val="0"/>
          <w:sz w:val="32"/>
          <w:szCs w:val="32"/>
          <w:u w:val="none" w:color="auto"/>
          <w:lang w:val="en-US" w:eastAsia="zh-CN"/>
        </w:rPr>
        <w:t>0</w:t>
      </w:r>
      <w:r>
        <w:rPr>
          <w:rFonts w:hint="eastAsia" w:ascii="仿宋" w:hAnsi="仿宋" w:eastAsia="仿宋" w:cs="仿宋"/>
          <w:color w:val="auto"/>
          <w:kern w:val="0"/>
          <w:sz w:val="32"/>
          <w:szCs w:val="32"/>
          <w:u w:val="none" w:color="auto"/>
        </w:rPr>
        <w:t>个，共涉及资金</w:t>
      </w:r>
      <w:r>
        <w:rPr>
          <w:rFonts w:hint="eastAsia" w:ascii="仿宋" w:hAnsi="仿宋" w:eastAsia="仿宋" w:cs="仿宋"/>
          <w:color w:val="auto"/>
          <w:kern w:val="0"/>
          <w:sz w:val="32"/>
          <w:szCs w:val="32"/>
          <w:u w:val="none" w:color="auto"/>
          <w:lang w:val="en-US" w:eastAsia="zh-CN"/>
        </w:rPr>
        <w:t>0</w:t>
      </w:r>
      <w:r>
        <w:rPr>
          <w:rFonts w:hint="eastAsia" w:ascii="仿宋" w:hAnsi="仿宋" w:eastAsia="仿宋" w:cs="仿宋"/>
          <w:color w:val="auto"/>
          <w:kern w:val="0"/>
          <w:sz w:val="32"/>
          <w:szCs w:val="32"/>
          <w:u w:val="none" w:color="auto"/>
        </w:rPr>
        <w:t>万元，占应纳入绩效自评的政府性基金预算项目支出总额的</w:t>
      </w:r>
      <w:r>
        <w:rPr>
          <w:rFonts w:hint="eastAsia" w:ascii="仿宋" w:hAnsi="仿宋" w:eastAsia="仿宋" w:cs="仿宋"/>
          <w:color w:val="auto"/>
          <w:kern w:val="0"/>
          <w:sz w:val="32"/>
          <w:szCs w:val="32"/>
          <w:u w:val="none" w:color="auto"/>
          <w:lang w:val="en-US" w:eastAsia="zh-CN"/>
        </w:rPr>
        <w:t>0</w:t>
      </w:r>
      <w:r>
        <w:rPr>
          <w:rFonts w:hint="eastAsia" w:ascii="仿宋" w:hAnsi="仿宋" w:eastAsia="仿宋" w:cs="仿宋"/>
          <w:color w:val="auto"/>
          <w:kern w:val="0"/>
          <w:sz w:val="32"/>
          <w:szCs w:val="32"/>
          <w:u w:val="none" w:color="auto"/>
        </w:rPr>
        <w:t>%。</w:t>
      </w:r>
    </w:p>
    <w:p w14:paraId="37592C81">
      <w:pPr>
        <w:widowControl/>
        <w:spacing w:line="578" w:lineRule="exact"/>
        <w:jc w:val="left"/>
        <w:rPr>
          <w:rFonts w:ascii="仿宋" w:hAnsi="仿宋" w:eastAsia="仿宋" w:cs="仿宋"/>
          <w:color w:val="auto"/>
          <w:kern w:val="0"/>
          <w:sz w:val="32"/>
          <w:szCs w:val="32"/>
          <w:u w:val="none" w:color="auto"/>
        </w:rPr>
      </w:pPr>
      <w:r>
        <w:rPr>
          <w:rFonts w:hint="eastAsia" w:ascii="仿宋" w:hAnsi="仿宋" w:eastAsia="仿宋" w:cs="仿宋"/>
          <w:b/>
          <w:bCs/>
          <w:color w:val="auto"/>
          <w:kern w:val="0"/>
          <w:sz w:val="32"/>
          <w:szCs w:val="32"/>
          <w:u w:val="none" w:color="auto"/>
        </w:rPr>
        <w:t>   </w:t>
      </w:r>
      <w:r>
        <w:rPr>
          <w:rFonts w:hint="eastAsia" w:ascii="楷体" w:hAnsi="楷体" w:eastAsia="楷体" w:cs="楷体"/>
          <w:b/>
          <w:bCs/>
          <w:color w:val="auto"/>
          <w:kern w:val="0"/>
          <w:sz w:val="32"/>
          <w:szCs w:val="32"/>
          <w:u w:val="none" w:color="auto"/>
        </w:rPr>
        <w:t xml:space="preserve"> （二）部门（单位）决算中项目绩效自评结果。</w:t>
      </w:r>
    </w:p>
    <w:p w14:paraId="76384D83">
      <w:pPr>
        <w:widowControl/>
        <w:spacing w:line="578" w:lineRule="exact"/>
        <w:rPr>
          <w:rFonts w:ascii="仿宋" w:hAnsi="仿宋" w:eastAsia="仿宋" w:cs="仿宋"/>
          <w:color w:val="auto"/>
          <w:kern w:val="0"/>
          <w:sz w:val="32"/>
          <w:szCs w:val="32"/>
          <w:u w:val="none" w:color="auto"/>
        </w:rPr>
      </w:pPr>
      <w:r>
        <w:rPr>
          <w:rFonts w:hint="eastAsia" w:ascii="仿宋" w:hAnsi="仿宋" w:eastAsia="仿宋" w:cs="仿宋"/>
          <w:color w:val="auto"/>
          <w:kern w:val="0"/>
          <w:sz w:val="32"/>
          <w:szCs w:val="32"/>
          <w:u w:val="none" w:color="auto"/>
        </w:rPr>
        <w:t>    内蒙古自治区包头市住房和城乡建设局综合保障中心 2024年度在决算中反映</w:t>
      </w:r>
      <w:r>
        <w:rPr>
          <w:rFonts w:hint="eastAsia" w:ascii="仿宋" w:hAnsi="仿宋" w:eastAsia="仿宋" w:cs="仿宋"/>
          <w:color w:val="auto"/>
          <w:kern w:val="0"/>
          <w:sz w:val="32"/>
          <w:szCs w:val="32"/>
          <w:u w:val="none" w:color="auto"/>
          <w:lang w:val="en-US" w:eastAsia="zh-CN"/>
        </w:rPr>
        <w:t>0</w:t>
      </w:r>
      <w:r>
        <w:rPr>
          <w:rFonts w:hint="eastAsia" w:ascii="仿宋" w:hAnsi="仿宋" w:eastAsia="仿宋" w:cs="仿宋"/>
          <w:color w:val="auto"/>
          <w:kern w:val="0"/>
          <w:sz w:val="32"/>
          <w:szCs w:val="32"/>
          <w:u w:val="none" w:color="auto"/>
        </w:rPr>
        <w:t>个一般公共预算项目，以及</w:t>
      </w:r>
      <w:r>
        <w:rPr>
          <w:rFonts w:hint="eastAsia" w:ascii="仿宋" w:hAnsi="仿宋" w:eastAsia="仿宋" w:cs="仿宋"/>
          <w:color w:val="auto"/>
          <w:kern w:val="0"/>
          <w:sz w:val="32"/>
          <w:szCs w:val="32"/>
          <w:u w:val="none" w:color="auto"/>
          <w:lang w:val="en-US" w:eastAsia="zh-CN"/>
        </w:rPr>
        <w:t>0</w:t>
      </w:r>
      <w:r>
        <w:rPr>
          <w:rFonts w:hint="eastAsia" w:ascii="仿宋" w:hAnsi="仿宋" w:eastAsia="仿宋" w:cs="仿宋"/>
          <w:color w:val="auto"/>
          <w:kern w:val="0"/>
          <w:sz w:val="32"/>
          <w:szCs w:val="32"/>
          <w:u w:val="none" w:color="auto"/>
        </w:rPr>
        <w:t>个政府性基金项目</w:t>
      </w:r>
      <w:r>
        <w:rPr>
          <w:rFonts w:hint="eastAsia" w:ascii="仿宋" w:hAnsi="仿宋" w:eastAsia="仿宋" w:cs="仿宋"/>
          <w:color w:val="auto"/>
          <w:kern w:val="0"/>
          <w:sz w:val="32"/>
          <w:szCs w:val="32"/>
          <w:u w:val="none" w:color="auto"/>
          <w:lang w:eastAsia="zh-CN"/>
        </w:rPr>
        <w:t>，</w:t>
      </w:r>
      <w:r>
        <w:rPr>
          <w:rFonts w:hint="eastAsia" w:ascii="仿宋" w:hAnsi="仿宋" w:eastAsia="仿宋" w:cs="仿宋"/>
          <w:color w:val="auto"/>
          <w:kern w:val="0"/>
          <w:sz w:val="32"/>
          <w:szCs w:val="32"/>
          <w:u w:val="none" w:color="auto"/>
        </w:rPr>
        <w:t>共</w:t>
      </w:r>
      <w:r>
        <w:rPr>
          <w:rFonts w:hint="eastAsia" w:ascii="仿宋" w:hAnsi="仿宋" w:eastAsia="仿宋" w:cs="仿宋"/>
          <w:color w:val="auto"/>
          <w:kern w:val="0"/>
          <w:sz w:val="32"/>
          <w:szCs w:val="32"/>
          <w:u w:val="none" w:color="auto"/>
          <w:lang w:val="en-US" w:eastAsia="zh-CN"/>
        </w:rPr>
        <w:t>0</w:t>
      </w:r>
      <w:r>
        <w:rPr>
          <w:rFonts w:hint="eastAsia" w:ascii="仿宋" w:hAnsi="仿宋" w:eastAsia="仿宋" w:cs="仿宋"/>
          <w:color w:val="auto"/>
          <w:kern w:val="0"/>
          <w:sz w:val="32"/>
          <w:szCs w:val="32"/>
          <w:u w:val="none" w:color="auto"/>
        </w:rPr>
        <w:t>个项目的绩效自评结果。</w:t>
      </w:r>
    </w:p>
    <w:p w14:paraId="40BC2198">
      <w:pPr>
        <w:widowControl/>
        <w:spacing w:line="578" w:lineRule="exact"/>
        <w:jc w:val="left"/>
        <w:rPr>
          <w:rFonts w:ascii="仿宋" w:hAnsi="仿宋" w:eastAsia="仿宋" w:cs="仿宋"/>
          <w:color w:val="auto"/>
          <w:kern w:val="0"/>
          <w:sz w:val="32"/>
          <w:szCs w:val="32"/>
          <w:u w:val="none" w:color="auto"/>
        </w:rPr>
      </w:pPr>
      <w:r>
        <w:rPr>
          <w:rFonts w:hint="eastAsia" w:ascii="仿宋" w:hAnsi="仿宋" w:eastAsia="仿宋" w:cs="仿宋"/>
          <w:b/>
          <w:bCs/>
          <w:color w:val="auto"/>
          <w:kern w:val="0"/>
          <w:sz w:val="32"/>
          <w:szCs w:val="32"/>
          <w:u w:val="none" w:color="auto"/>
        </w:rPr>
        <w:t xml:space="preserve">    </w:t>
      </w:r>
      <w:r>
        <w:rPr>
          <w:rFonts w:hint="eastAsia" w:ascii="楷体" w:hAnsi="楷体" w:eastAsia="楷体" w:cs="楷体"/>
          <w:b/>
          <w:bCs/>
          <w:color w:val="auto"/>
          <w:kern w:val="0"/>
          <w:sz w:val="32"/>
          <w:szCs w:val="32"/>
          <w:u w:val="none" w:color="auto"/>
        </w:rPr>
        <w:t>（三）部门项目绩效评价结果。</w:t>
      </w:r>
    </w:p>
    <w:p w14:paraId="581D00BE">
      <w:pPr>
        <w:widowControl/>
        <w:spacing w:line="578" w:lineRule="exact"/>
        <w:jc w:val="left"/>
        <w:rPr>
          <w:rFonts w:hint="default" w:ascii="仿宋" w:hAnsi="仿宋" w:eastAsia="仿宋" w:cs="仿宋"/>
          <w:color w:val="auto"/>
          <w:kern w:val="0"/>
          <w:sz w:val="32"/>
          <w:szCs w:val="32"/>
          <w:u w:val="none" w:color="auto"/>
          <w:lang w:val="en-US" w:eastAsia="zh-CN"/>
        </w:rPr>
      </w:pPr>
      <w:r>
        <w:rPr>
          <w:rFonts w:hint="eastAsia" w:ascii="仿宋" w:hAnsi="仿宋" w:eastAsia="仿宋" w:cs="仿宋"/>
          <w:color w:val="auto"/>
          <w:kern w:val="0"/>
          <w:sz w:val="32"/>
          <w:szCs w:val="32"/>
          <w:u w:val="none" w:color="auto"/>
        </w:rPr>
        <w:t xml:space="preserve">  </w:t>
      </w:r>
      <w:r>
        <w:rPr>
          <w:rFonts w:hint="eastAsia" w:ascii="仿宋" w:hAnsi="仿宋" w:eastAsia="仿宋" w:cs="仿宋"/>
          <w:color w:val="auto"/>
          <w:kern w:val="0"/>
          <w:sz w:val="32"/>
          <w:szCs w:val="32"/>
          <w:u w:val="none" w:color="auto"/>
          <w:lang w:val="en-US" w:eastAsia="zh-CN"/>
        </w:rPr>
        <w:t xml:space="preserve"> </w:t>
      </w:r>
      <w:r>
        <w:rPr>
          <w:rFonts w:hint="eastAsia" w:ascii="仿宋" w:hAnsi="仿宋" w:eastAsia="仿宋" w:cs="仿宋"/>
          <w:color w:val="auto"/>
          <w:kern w:val="0"/>
          <w:sz w:val="32"/>
          <w:szCs w:val="32"/>
          <w:u w:val="none" w:color="auto"/>
        </w:rPr>
        <w:t> </w:t>
      </w:r>
      <w:r>
        <w:rPr>
          <w:rFonts w:hint="eastAsia" w:ascii="仿宋" w:hAnsi="仿宋" w:eastAsia="仿宋" w:cs="仿宋"/>
          <w:color w:val="auto"/>
          <w:kern w:val="0"/>
          <w:sz w:val="32"/>
          <w:szCs w:val="32"/>
          <w:u w:val="none" w:color="auto"/>
          <w:lang w:val="en-US" w:eastAsia="zh-CN"/>
        </w:rPr>
        <w:t>我单位无项目支出。</w:t>
      </w:r>
    </w:p>
    <w:p w14:paraId="04A7C39E">
      <w:pPr>
        <w:widowControl/>
        <w:spacing w:line="578" w:lineRule="exact"/>
        <w:jc w:val="left"/>
        <w:rPr>
          <w:rFonts w:eastAsia="Times New Roman"/>
          <w:color w:val="FF0000"/>
          <w:kern w:val="0"/>
          <w:sz w:val="32"/>
          <w:szCs w:val="32"/>
          <w:u w:val="none" w:color="auto"/>
        </w:rPr>
      </w:pPr>
    </w:p>
    <w:p w14:paraId="51488BF1">
      <w:pPr>
        <w:pStyle w:val="5"/>
        <w:keepNext w:val="0"/>
        <w:keepLines w:val="0"/>
        <w:widowControl/>
        <w:spacing w:before="0" w:after="0" w:line="578" w:lineRule="exact"/>
        <w:jc w:val="center"/>
        <w:rPr>
          <w:rFonts w:ascii="微软雅黑" w:hAnsi="微软雅黑" w:eastAsia="微软雅黑" w:cs="微软雅黑"/>
          <w:b w:val="0"/>
          <w:bCs w:val="0"/>
          <w:kern w:val="0"/>
          <w:sz w:val="36"/>
          <w:szCs w:val="36"/>
          <w:u w:val="none" w:color="auto"/>
        </w:rPr>
      </w:pPr>
      <w:r>
        <w:rPr>
          <w:rFonts w:hint="eastAsia" w:ascii="微软雅黑" w:hAnsi="微软雅黑" w:eastAsia="微软雅黑" w:cs="微软雅黑"/>
          <w:b w:val="0"/>
          <w:bCs w:val="0"/>
          <w:kern w:val="0"/>
          <w:sz w:val="36"/>
          <w:szCs w:val="36"/>
          <w:u w:val="none" w:color="auto"/>
        </w:rPr>
        <w:t>第三部分 名词解释</w:t>
      </w:r>
    </w:p>
    <w:p w14:paraId="1B3F5567">
      <w:pPr>
        <w:widowControl/>
        <w:spacing w:line="578" w:lineRule="exact"/>
        <w:jc w:val="left"/>
        <w:rPr>
          <w:rFonts w:eastAsia="Times New Roman"/>
          <w:kern w:val="0"/>
          <w:sz w:val="32"/>
          <w:szCs w:val="32"/>
          <w:u w:val="none" w:color="auto"/>
        </w:rPr>
      </w:pPr>
      <w:r>
        <w:rPr>
          <w:rFonts w:ascii="仿宋_GB2312" w:hAnsi="仿宋_GB2312" w:eastAsia="仿宋_GB2312" w:cs="仿宋_GB2312"/>
          <w:b/>
          <w:bCs/>
          <w:kern w:val="0"/>
          <w:sz w:val="32"/>
          <w:szCs w:val="32"/>
          <w:u w:val="none" w:color="auto"/>
        </w:rPr>
        <w:t>    一、财政拨款收入：</w:t>
      </w:r>
      <w:r>
        <w:rPr>
          <w:rFonts w:ascii="仿宋_GB2312" w:hAnsi="仿宋_GB2312" w:eastAsia="仿宋_GB2312" w:cs="仿宋_GB2312"/>
          <w:kern w:val="0"/>
          <w:sz w:val="32"/>
          <w:szCs w:val="32"/>
          <w:u w:val="none" w:color="auto"/>
        </w:rPr>
        <w:t>从同级财政部门取得的各类财政拨款，包括一般公共预算财政拨款、政府性基金预算财政拨款、国有资本经营预算财政拨款。</w:t>
      </w:r>
    </w:p>
    <w:p w14:paraId="6BA00CC6">
      <w:pPr>
        <w:widowControl/>
        <w:spacing w:line="578" w:lineRule="exact"/>
        <w:jc w:val="left"/>
        <w:rPr>
          <w:rFonts w:eastAsia="Times New Roman"/>
          <w:kern w:val="0"/>
          <w:sz w:val="32"/>
          <w:szCs w:val="32"/>
          <w:u w:val="none" w:color="auto"/>
        </w:rPr>
      </w:pPr>
      <w:r>
        <w:rPr>
          <w:rFonts w:ascii="仿宋_GB2312" w:hAnsi="仿宋_GB2312" w:eastAsia="仿宋_GB2312" w:cs="仿宋_GB2312"/>
          <w:b/>
          <w:bCs/>
          <w:kern w:val="0"/>
          <w:sz w:val="32"/>
          <w:szCs w:val="32"/>
          <w:u w:val="none" w:color="auto"/>
        </w:rPr>
        <w:t>    二、上级补助收入：</w:t>
      </w:r>
      <w:r>
        <w:rPr>
          <w:rFonts w:ascii="仿宋_GB2312" w:hAnsi="仿宋_GB2312" w:eastAsia="仿宋_GB2312" w:cs="仿宋_GB2312"/>
          <w:kern w:val="0"/>
          <w:sz w:val="32"/>
          <w:szCs w:val="32"/>
          <w:u w:val="none" w:color="auto"/>
        </w:rPr>
        <w:t>指事业单位从主管部门和上级单位取得的非财政补助收入。</w:t>
      </w:r>
    </w:p>
    <w:p w14:paraId="6961E7C5">
      <w:pPr>
        <w:widowControl/>
        <w:spacing w:line="578" w:lineRule="exact"/>
        <w:jc w:val="left"/>
        <w:rPr>
          <w:rFonts w:eastAsia="Times New Roman"/>
          <w:kern w:val="0"/>
          <w:sz w:val="32"/>
          <w:szCs w:val="32"/>
          <w:u w:val="none" w:color="auto"/>
        </w:rPr>
      </w:pPr>
      <w:r>
        <w:rPr>
          <w:rFonts w:ascii="仿宋_GB2312" w:hAnsi="仿宋_GB2312" w:eastAsia="仿宋_GB2312" w:cs="仿宋_GB2312"/>
          <w:b/>
          <w:bCs/>
          <w:kern w:val="0"/>
          <w:sz w:val="32"/>
          <w:szCs w:val="32"/>
          <w:u w:val="none" w:color="auto"/>
        </w:rPr>
        <w:t>    三、财政专户管理教育收费：</w:t>
      </w:r>
      <w:r>
        <w:rPr>
          <w:rFonts w:ascii="仿宋_GB2312" w:hAnsi="仿宋_GB2312" w:eastAsia="仿宋_GB2312" w:cs="仿宋_GB2312"/>
          <w:kern w:val="0"/>
          <w:sz w:val="32"/>
          <w:szCs w:val="32"/>
          <w:u w:val="none" w:color="auto"/>
        </w:rPr>
        <w:t>指缴入财政专户、实行专项管理的高中以上学费、住宿费、高校委托培养费、函大、电大、夜大及短训班培训费等教育收费。</w:t>
      </w:r>
    </w:p>
    <w:p w14:paraId="46A92570">
      <w:pPr>
        <w:widowControl/>
        <w:spacing w:line="578" w:lineRule="exact"/>
        <w:jc w:val="left"/>
        <w:rPr>
          <w:rFonts w:eastAsia="Times New Roman"/>
          <w:kern w:val="0"/>
          <w:sz w:val="32"/>
          <w:szCs w:val="32"/>
          <w:u w:val="none" w:color="auto"/>
        </w:rPr>
      </w:pPr>
      <w:r>
        <w:rPr>
          <w:rFonts w:ascii="仿宋_GB2312" w:hAnsi="仿宋_GB2312" w:eastAsia="仿宋_GB2312" w:cs="仿宋_GB2312"/>
          <w:b/>
          <w:bCs/>
          <w:kern w:val="0"/>
          <w:sz w:val="32"/>
          <w:szCs w:val="32"/>
          <w:u w:val="none" w:color="auto"/>
        </w:rPr>
        <w:t>    四、事业收入：</w:t>
      </w:r>
      <w:r>
        <w:rPr>
          <w:rFonts w:ascii="仿宋_GB2312" w:hAnsi="仿宋_GB2312" w:eastAsia="仿宋_GB2312" w:cs="仿宋_GB2312"/>
          <w:kern w:val="0"/>
          <w:sz w:val="32"/>
          <w:szCs w:val="32"/>
          <w:u w:val="none" w:color="auto"/>
        </w:rPr>
        <w:t>指事业单位开展专业业务活动及其辅助活动取得的收入。</w:t>
      </w:r>
    </w:p>
    <w:p w14:paraId="15BEBC1A">
      <w:pPr>
        <w:widowControl/>
        <w:spacing w:line="578" w:lineRule="exact"/>
        <w:jc w:val="left"/>
        <w:rPr>
          <w:rFonts w:eastAsia="Times New Roman"/>
          <w:kern w:val="0"/>
          <w:sz w:val="32"/>
          <w:szCs w:val="32"/>
          <w:u w:val="none" w:color="auto"/>
        </w:rPr>
      </w:pPr>
      <w:r>
        <w:rPr>
          <w:rFonts w:ascii="仿宋_GB2312" w:hAnsi="仿宋_GB2312" w:eastAsia="仿宋_GB2312" w:cs="仿宋_GB2312"/>
          <w:b/>
          <w:bCs/>
          <w:kern w:val="0"/>
          <w:sz w:val="32"/>
          <w:szCs w:val="32"/>
          <w:u w:val="none" w:color="auto"/>
        </w:rPr>
        <w:t>    五、经营收入：</w:t>
      </w:r>
      <w:r>
        <w:rPr>
          <w:rFonts w:ascii="仿宋_GB2312" w:hAnsi="仿宋_GB2312" w:eastAsia="仿宋_GB2312" w:cs="仿宋_GB2312"/>
          <w:kern w:val="0"/>
          <w:sz w:val="32"/>
          <w:szCs w:val="32"/>
          <w:u w:val="none" w:color="auto"/>
        </w:rPr>
        <w:t>指事业单位在专业业务活动及其辅助活动之外开展非独立核算经营活动取得的收入。</w:t>
      </w:r>
    </w:p>
    <w:p w14:paraId="55169EC3">
      <w:pPr>
        <w:widowControl/>
        <w:spacing w:line="578" w:lineRule="exact"/>
        <w:jc w:val="left"/>
        <w:rPr>
          <w:rFonts w:eastAsia="Times New Roman"/>
          <w:kern w:val="0"/>
          <w:sz w:val="32"/>
          <w:szCs w:val="32"/>
          <w:u w:val="none" w:color="auto"/>
        </w:rPr>
      </w:pPr>
      <w:r>
        <w:rPr>
          <w:rFonts w:ascii="仿宋_GB2312" w:hAnsi="仿宋_GB2312" w:eastAsia="仿宋_GB2312" w:cs="仿宋_GB2312"/>
          <w:b/>
          <w:bCs/>
          <w:kern w:val="0"/>
          <w:sz w:val="32"/>
          <w:szCs w:val="32"/>
          <w:u w:val="none" w:color="auto"/>
        </w:rPr>
        <w:t>    六、附属单位上缴收入：</w:t>
      </w:r>
      <w:r>
        <w:rPr>
          <w:rFonts w:ascii="仿宋_GB2312" w:hAnsi="仿宋_GB2312" w:eastAsia="仿宋_GB2312" w:cs="仿宋_GB2312"/>
          <w:kern w:val="0"/>
          <w:sz w:val="32"/>
          <w:szCs w:val="32"/>
          <w:u w:val="none" w:color="auto"/>
        </w:rPr>
        <w:t>指事业单位取得附属独立核算单位按照有关规定上缴的收入。</w:t>
      </w:r>
    </w:p>
    <w:p w14:paraId="6B9606A9">
      <w:pPr>
        <w:widowControl/>
        <w:spacing w:line="578" w:lineRule="exact"/>
        <w:jc w:val="left"/>
        <w:rPr>
          <w:rFonts w:eastAsia="Times New Roman"/>
          <w:kern w:val="0"/>
          <w:sz w:val="32"/>
          <w:szCs w:val="32"/>
          <w:u w:val="none" w:color="auto"/>
        </w:rPr>
      </w:pPr>
      <w:r>
        <w:rPr>
          <w:rFonts w:ascii="仿宋_GB2312" w:hAnsi="仿宋_GB2312" w:eastAsia="仿宋_GB2312" w:cs="仿宋_GB2312"/>
          <w:b/>
          <w:bCs/>
          <w:kern w:val="0"/>
          <w:sz w:val="32"/>
          <w:szCs w:val="32"/>
          <w:u w:val="none" w:color="auto"/>
        </w:rPr>
        <w:t>    七、其他收入：</w:t>
      </w:r>
      <w:r>
        <w:rPr>
          <w:rFonts w:ascii="仿宋_GB2312" w:hAnsi="仿宋_GB2312" w:eastAsia="仿宋_GB2312" w:cs="仿宋_GB2312"/>
          <w:kern w:val="0"/>
          <w:sz w:val="32"/>
          <w:szCs w:val="32"/>
          <w:u w:val="none" w:color="auto"/>
        </w:rPr>
        <w:t>取得的除上述财政拨款收入、上级补助收入、事业收入、经营收入、附属单位上缴收入等以外的各项收入。</w:t>
      </w:r>
    </w:p>
    <w:p w14:paraId="35277DBB">
      <w:pPr>
        <w:widowControl/>
        <w:spacing w:line="578" w:lineRule="exact"/>
        <w:jc w:val="left"/>
        <w:rPr>
          <w:rFonts w:eastAsia="Times New Roman"/>
          <w:kern w:val="0"/>
          <w:sz w:val="32"/>
          <w:szCs w:val="32"/>
          <w:u w:val="none" w:color="auto"/>
        </w:rPr>
      </w:pPr>
      <w:r>
        <w:rPr>
          <w:rFonts w:ascii="仿宋_GB2312" w:hAnsi="仿宋_GB2312" w:eastAsia="仿宋_GB2312" w:cs="仿宋_GB2312"/>
          <w:b/>
          <w:bCs/>
          <w:kern w:val="0"/>
          <w:sz w:val="32"/>
          <w:szCs w:val="32"/>
          <w:u w:val="none" w:color="auto"/>
        </w:rPr>
        <w:t>    八、使用非财政拨款结余（含专用结余）：</w:t>
      </w:r>
      <w:r>
        <w:rPr>
          <w:rFonts w:ascii="仿宋_GB2312" w:hAnsi="仿宋_GB2312" w:eastAsia="仿宋_GB2312" w:cs="仿宋_GB2312"/>
          <w:kern w:val="0"/>
          <w:sz w:val="32"/>
          <w:szCs w:val="32"/>
          <w:u w:val="none" w:color="auto"/>
        </w:rPr>
        <w:t>指事业单位按照预算管理要求使用非财政拨款结余</w:t>
      </w:r>
      <w:r>
        <w:rPr>
          <w:rFonts w:ascii="仿宋_GB2312" w:hAnsi="仿宋_GB2312" w:eastAsia="仿宋_GB2312" w:cs="仿宋_GB2312"/>
          <w:color w:val="000000"/>
          <w:kern w:val="0"/>
          <w:sz w:val="32"/>
          <w:szCs w:val="32"/>
          <w:u w:val="none" w:color="auto"/>
        </w:rPr>
        <w:t>弥补收支差额的金额，以及使用专用结余安排支出的金额。</w:t>
      </w:r>
    </w:p>
    <w:p w14:paraId="4469BA14">
      <w:pPr>
        <w:widowControl/>
        <w:spacing w:line="578" w:lineRule="exact"/>
        <w:jc w:val="left"/>
        <w:rPr>
          <w:rFonts w:eastAsia="Times New Roman"/>
          <w:kern w:val="0"/>
          <w:sz w:val="32"/>
          <w:szCs w:val="32"/>
          <w:u w:val="none" w:color="auto"/>
        </w:rPr>
      </w:pPr>
      <w:r>
        <w:rPr>
          <w:rFonts w:ascii="仿宋_GB2312" w:hAnsi="仿宋_GB2312" w:eastAsia="仿宋_GB2312" w:cs="仿宋_GB2312"/>
          <w:b/>
          <w:bCs/>
          <w:kern w:val="0"/>
          <w:sz w:val="32"/>
          <w:szCs w:val="32"/>
          <w:u w:val="none" w:color="auto"/>
        </w:rPr>
        <w:t>    九、年初结转和结余：</w:t>
      </w:r>
      <w:r>
        <w:rPr>
          <w:rFonts w:ascii="仿宋_GB2312" w:hAnsi="仿宋_GB2312" w:eastAsia="仿宋_GB2312" w:cs="仿宋_GB2312"/>
          <w:kern w:val="0"/>
          <w:sz w:val="32"/>
          <w:szCs w:val="32"/>
          <w:u w:val="none" w:color="auto"/>
        </w:rPr>
        <w:t>指单位上年结转本年使用的基本支出结转、项目支出结转和结余、经营结余。</w:t>
      </w:r>
    </w:p>
    <w:p w14:paraId="28238F37">
      <w:pPr>
        <w:widowControl/>
        <w:spacing w:line="578" w:lineRule="exact"/>
        <w:jc w:val="left"/>
        <w:rPr>
          <w:rFonts w:eastAsia="Times New Roman"/>
          <w:kern w:val="0"/>
          <w:sz w:val="32"/>
          <w:szCs w:val="32"/>
          <w:u w:val="none" w:color="auto"/>
        </w:rPr>
      </w:pPr>
      <w:r>
        <w:rPr>
          <w:rFonts w:ascii="仿宋_GB2312" w:hAnsi="仿宋_GB2312" w:eastAsia="仿宋_GB2312" w:cs="仿宋_GB2312"/>
          <w:b/>
          <w:bCs/>
          <w:kern w:val="0"/>
          <w:sz w:val="32"/>
          <w:szCs w:val="32"/>
          <w:u w:val="none" w:color="auto"/>
        </w:rPr>
        <w:t>    十、结余分配：</w:t>
      </w:r>
      <w:r>
        <w:rPr>
          <w:rFonts w:ascii="仿宋_GB2312" w:hAnsi="仿宋_GB2312" w:eastAsia="仿宋_GB2312" w:cs="仿宋_GB2312"/>
          <w:kern w:val="0"/>
          <w:sz w:val="32"/>
          <w:szCs w:val="32"/>
          <w:u w:val="none" w:color="auto"/>
        </w:rPr>
        <w:t>指单位按规定缴纳企业所得税以及从非财政拨款结余或经营结余中提取各类结余的情况。</w:t>
      </w:r>
    </w:p>
    <w:p w14:paraId="73B336A9">
      <w:pPr>
        <w:widowControl/>
        <w:spacing w:line="578" w:lineRule="exact"/>
        <w:jc w:val="left"/>
        <w:rPr>
          <w:rFonts w:eastAsia="Times New Roman"/>
          <w:kern w:val="0"/>
          <w:sz w:val="32"/>
          <w:szCs w:val="32"/>
          <w:u w:val="none" w:color="auto"/>
        </w:rPr>
      </w:pPr>
      <w:r>
        <w:rPr>
          <w:rFonts w:ascii="仿宋_GB2312" w:hAnsi="仿宋_GB2312" w:eastAsia="仿宋_GB2312" w:cs="仿宋_GB2312"/>
          <w:b/>
          <w:bCs/>
          <w:kern w:val="0"/>
          <w:sz w:val="32"/>
          <w:szCs w:val="32"/>
          <w:u w:val="none" w:color="auto"/>
        </w:rPr>
        <w:t>    十一、年末结转和结余资金：</w:t>
      </w:r>
      <w:r>
        <w:rPr>
          <w:rFonts w:ascii="仿宋_GB2312" w:hAnsi="仿宋_GB2312" w:eastAsia="仿宋_GB2312" w:cs="仿宋_GB2312"/>
          <w:kern w:val="0"/>
          <w:sz w:val="32"/>
          <w:szCs w:val="32"/>
          <w:u w:val="none" w:color="auto"/>
        </w:rPr>
        <w:t>指单位结转下年的基本支出结转、项目支出结转和结余、经营结余。</w:t>
      </w:r>
    </w:p>
    <w:p w14:paraId="0B84E61C">
      <w:pPr>
        <w:widowControl/>
        <w:spacing w:line="578" w:lineRule="exact"/>
        <w:jc w:val="left"/>
        <w:rPr>
          <w:rFonts w:eastAsia="Times New Roman"/>
          <w:kern w:val="0"/>
          <w:sz w:val="32"/>
          <w:szCs w:val="32"/>
        </w:rPr>
      </w:pPr>
      <w:r>
        <w:rPr>
          <w:rFonts w:ascii="仿宋_GB2312" w:hAnsi="仿宋_GB2312" w:eastAsia="仿宋_GB2312" w:cs="仿宋_GB2312"/>
          <w:b/>
          <w:bCs/>
          <w:kern w:val="0"/>
          <w:sz w:val="32"/>
          <w:szCs w:val="32"/>
          <w:u w:val="none" w:color="auto"/>
        </w:rPr>
        <w:t>    十二、基本支出：</w:t>
      </w:r>
      <w:r>
        <w:rPr>
          <w:rFonts w:ascii="仿宋_GB2312" w:hAnsi="仿宋_GB2312" w:eastAsia="仿宋_GB2312" w:cs="仿宋_GB2312"/>
          <w:kern w:val="0"/>
          <w:sz w:val="32"/>
          <w:szCs w:val="32"/>
          <w:u w:val="none" w:color="auto"/>
        </w:rPr>
        <w:t>指为保障机构正常运转、完成日常工</w:t>
      </w:r>
      <w:r>
        <w:rPr>
          <w:rFonts w:ascii="仿宋_GB2312" w:hAnsi="仿宋_GB2312" w:eastAsia="仿宋_GB2312" w:cs="仿宋_GB2312"/>
          <w:kern w:val="0"/>
          <w:sz w:val="32"/>
          <w:szCs w:val="32"/>
        </w:rPr>
        <w:t>作任务所发生的支出，包括人员经费和公用经费。</w:t>
      </w:r>
    </w:p>
    <w:p w14:paraId="6BC3C36F">
      <w:pPr>
        <w:widowControl/>
        <w:spacing w:line="578" w:lineRule="exact"/>
        <w:jc w:val="left"/>
        <w:rPr>
          <w:rFonts w:eastAsia="Times New Roman"/>
          <w:kern w:val="0"/>
          <w:sz w:val="32"/>
          <w:szCs w:val="32"/>
        </w:rPr>
      </w:pPr>
      <w:r>
        <w:rPr>
          <w:rFonts w:ascii="仿宋_GB2312" w:hAnsi="仿宋_GB2312" w:eastAsia="仿宋_GB2312" w:cs="仿宋_GB2312"/>
          <w:b/>
          <w:bCs/>
          <w:kern w:val="0"/>
          <w:sz w:val="32"/>
          <w:szCs w:val="32"/>
        </w:rPr>
        <w:t>    十三、项目支出：</w:t>
      </w:r>
      <w:r>
        <w:rPr>
          <w:rFonts w:ascii="仿宋_GB2312" w:hAnsi="仿宋_GB2312" w:eastAsia="仿宋_GB2312" w:cs="仿宋_GB2312"/>
          <w:kern w:val="0"/>
          <w:sz w:val="32"/>
          <w:szCs w:val="32"/>
        </w:rPr>
        <w:t>指在为完成特定的行政工作任务或事业发展目标所发生的支出。</w:t>
      </w:r>
    </w:p>
    <w:p w14:paraId="3630A471">
      <w:pPr>
        <w:widowControl/>
        <w:spacing w:line="578" w:lineRule="exact"/>
        <w:jc w:val="left"/>
        <w:rPr>
          <w:rFonts w:eastAsia="Times New Roman"/>
          <w:kern w:val="0"/>
          <w:sz w:val="32"/>
          <w:szCs w:val="32"/>
        </w:rPr>
      </w:pPr>
      <w:r>
        <w:rPr>
          <w:rFonts w:ascii="仿宋_GB2312" w:hAnsi="仿宋_GB2312" w:eastAsia="仿宋_GB2312" w:cs="仿宋_GB2312"/>
          <w:b/>
          <w:bCs/>
          <w:kern w:val="0"/>
          <w:sz w:val="32"/>
          <w:szCs w:val="32"/>
        </w:rPr>
        <w:t>    十四、上缴上级支出：</w:t>
      </w:r>
      <w:r>
        <w:rPr>
          <w:rFonts w:ascii="仿宋_GB2312" w:hAnsi="仿宋_GB2312" w:eastAsia="仿宋_GB2312" w:cs="仿宋_GB2312"/>
          <w:kern w:val="0"/>
          <w:sz w:val="32"/>
          <w:szCs w:val="32"/>
        </w:rPr>
        <w:t>指事业单位按照财政部门和主管部门的规定上缴上级单位的支出。</w:t>
      </w:r>
    </w:p>
    <w:p w14:paraId="7C7DD989">
      <w:pPr>
        <w:widowControl/>
        <w:spacing w:line="578" w:lineRule="exact"/>
        <w:jc w:val="left"/>
        <w:rPr>
          <w:rFonts w:eastAsia="Times New Roman"/>
          <w:kern w:val="0"/>
          <w:sz w:val="32"/>
          <w:szCs w:val="32"/>
        </w:rPr>
      </w:pPr>
      <w:r>
        <w:rPr>
          <w:rFonts w:ascii="仿宋_GB2312" w:hAnsi="仿宋_GB2312" w:eastAsia="仿宋_GB2312" w:cs="仿宋_GB2312"/>
          <w:b/>
          <w:bCs/>
          <w:kern w:val="0"/>
          <w:sz w:val="32"/>
          <w:szCs w:val="32"/>
        </w:rPr>
        <w:t>    十五、经营支出：</w:t>
      </w:r>
      <w:r>
        <w:rPr>
          <w:rFonts w:ascii="仿宋_GB2312" w:hAnsi="仿宋_GB2312" w:eastAsia="仿宋_GB2312" w:cs="仿宋_GB2312"/>
          <w:kern w:val="0"/>
          <w:sz w:val="32"/>
          <w:szCs w:val="32"/>
        </w:rPr>
        <w:t>指事业单位在专业业务活动及其辅助活动之外开展非独立核算经营活动发生的支出。</w:t>
      </w:r>
    </w:p>
    <w:p w14:paraId="51557A9E">
      <w:pPr>
        <w:widowControl/>
        <w:spacing w:line="578" w:lineRule="exact"/>
        <w:jc w:val="left"/>
        <w:rPr>
          <w:rFonts w:eastAsia="Times New Roman"/>
          <w:kern w:val="0"/>
          <w:sz w:val="32"/>
          <w:szCs w:val="32"/>
        </w:rPr>
      </w:pPr>
      <w:r>
        <w:rPr>
          <w:rFonts w:ascii="仿宋_GB2312" w:hAnsi="仿宋_GB2312" w:eastAsia="仿宋_GB2312" w:cs="仿宋_GB2312"/>
          <w:b/>
          <w:bCs/>
          <w:kern w:val="0"/>
          <w:sz w:val="32"/>
          <w:szCs w:val="32"/>
        </w:rPr>
        <w:t>    十六、对附属单位补助支出：</w:t>
      </w:r>
      <w:r>
        <w:rPr>
          <w:rFonts w:ascii="仿宋_GB2312" w:hAnsi="仿宋_GB2312" w:eastAsia="仿宋_GB2312" w:cs="仿宋_GB2312"/>
          <w:kern w:val="0"/>
          <w:sz w:val="32"/>
          <w:szCs w:val="32"/>
        </w:rPr>
        <w:t>指事业单位用财政拨款收入之外的收入对附属单位补助发生的支出。</w:t>
      </w:r>
    </w:p>
    <w:p w14:paraId="36338957">
      <w:pPr>
        <w:widowControl/>
        <w:spacing w:line="578" w:lineRule="exact"/>
        <w:jc w:val="left"/>
        <w:rPr>
          <w:rFonts w:eastAsia="Times New Roman"/>
          <w:kern w:val="0"/>
          <w:sz w:val="32"/>
          <w:szCs w:val="32"/>
        </w:rPr>
      </w:pPr>
      <w:r>
        <w:rPr>
          <w:rFonts w:ascii="仿宋_GB2312" w:hAnsi="仿宋_GB2312" w:eastAsia="仿宋_GB2312" w:cs="仿宋_GB2312"/>
          <w:b/>
          <w:bCs/>
          <w:kern w:val="0"/>
          <w:sz w:val="32"/>
          <w:szCs w:val="32"/>
        </w:rPr>
        <w:t>    十七、“三公”经费：</w:t>
      </w:r>
      <w:r>
        <w:rPr>
          <w:rFonts w:ascii="仿宋_GB2312" w:hAnsi="仿宋_GB2312" w:eastAsia="仿宋_GB2312" w:cs="仿宋_GB2312"/>
          <w:kern w:val="0"/>
          <w:sz w:val="32"/>
          <w:szCs w:val="32"/>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6B8010CE">
      <w:pPr>
        <w:widowControl/>
        <w:spacing w:line="578" w:lineRule="exact"/>
        <w:jc w:val="left"/>
        <w:rPr>
          <w:rFonts w:eastAsia="Times New Roman"/>
          <w:kern w:val="0"/>
          <w:sz w:val="32"/>
          <w:szCs w:val="32"/>
        </w:rPr>
      </w:pPr>
      <w:r>
        <w:rPr>
          <w:rFonts w:ascii="仿宋_GB2312" w:hAnsi="仿宋_GB2312" w:eastAsia="仿宋_GB2312" w:cs="仿宋_GB2312"/>
          <w:b/>
          <w:bCs/>
          <w:kern w:val="0"/>
          <w:sz w:val="32"/>
          <w:szCs w:val="32"/>
        </w:rPr>
        <w:t>    十八、机关运行经费：</w:t>
      </w:r>
      <w:r>
        <w:rPr>
          <w:rFonts w:ascii="仿宋_GB2312" w:hAnsi="仿宋_GB2312" w:eastAsia="仿宋_GB2312" w:cs="仿宋_GB2312"/>
          <w:color w:val="000000"/>
          <w:kern w:val="0"/>
          <w:sz w:val="32"/>
          <w:szCs w:val="32"/>
        </w:rPr>
        <w:t>指行政单位和参照公务员法管理的事业单位财政拨款</w:t>
      </w:r>
      <w:r>
        <w:rPr>
          <w:rFonts w:ascii="仿宋_GB2312" w:hAnsi="仿宋_GB2312" w:eastAsia="仿宋_GB2312" w:cs="仿宋_GB2312"/>
          <w:kern w:val="0"/>
          <w:sz w:val="32"/>
          <w:szCs w:val="32"/>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0F2451AD">
      <w:pPr>
        <w:widowControl/>
        <w:spacing w:line="578" w:lineRule="exact"/>
        <w:jc w:val="left"/>
        <w:rPr>
          <w:rFonts w:eastAsia="Times New Roman"/>
          <w:kern w:val="0"/>
          <w:sz w:val="32"/>
          <w:szCs w:val="32"/>
        </w:rPr>
      </w:pPr>
      <w:r>
        <w:rPr>
          <w:rFonts w:ascii="仿宋_GB2312" w:hAnsi="仿宋_GB2312" w:eastAsia="仿宋_GB2312" w:cs="仿宋_GB2312"/>
          <w:color w:val="0E00FE"/>
          <w:kern w:val="0"/>
          <w:sz w:val="32"/>
          <w:szCs w:val="32"/>
        </w:rPr>
        <w:t xml:space="preserve">    </w:t>
      </w:r>
    </w:p>
    <w:p w14:paraId="7D937872">
      <w:pPr>
        <w:pStyle w:val="5"/>
        <w:keepNext w:val="0"/>
        <w:keepLines w:val="0"/>
        <w:widowControl/>
        <w:spacing w:before="0" w:after="0" w:line="578" w:lineRule="exact"/>
        <w:jc w:val="center"/>
        <w:rPr>
          <w:rFonts w:ascii="微软雅黑" w:hAnsi="微软雅黑" w:eastAsia="微软雅黑" w:cs="微软雅黑"/>
          <w:b w:val="0"/>
          <w:bCs w:val="0"/>
          <w:kern w:val="0"/>
          <w:sz w:val="36"/>
          <w:szCs w:val="36"/>
        </w:rPr>
      </w:pPr>
      <w:r>
        <w:rPr>
          <w:rFonts w:hint="eastAsia" w:ascii="微软雅黑" w:hAnsi="微软雅黑" w:eastAsia="微软雅黑" w:cs="微软雅黑"/>
          <w:b w:val="0"/>
          <w:bCs w:val="0"/>
          <w:kern w:val="0"/>
          <w:sz w:val="36"/>
          <w:szCs w:val="36"/>
        </w:rPr>
        <w:t>第四部分 决算公开联系方式及信息反馈渠道</w:t>
      </w:r>
    </w:p>
    <w:p w14:paraId="183131B5">
      <w:pPr>
        <w:widowControl/>
        <w:spacing w:line="578" w:lineRule="exact"/>
        <w:jc w:val="left"/>
        <w:rPr>
          <w:rFonts w:eastAsia="Times New Roman"/>
          <w:kern w:val="0"/>
          <w:sz w:val="32"/>
          <w:szCs w:val="32"/>
        </w:rPr>
      </w:pPr>
    </w:p>
    <w:p w14:paraId="2AFD09DB">
      <w:pPr>
        <w:widowControl/>
        <w:spacing w:line="578" w:lineRule="exact"/>
        <w:ind w:firstLine="640" w:firstLineChars="200"/>
        <w:jc w:val="left"/>
        <w:rPr>
          <w:rFonts w:eastAsia="Times New Roman"/>
          <w:kern w:val="0"/>
          <w:sz w:val="32"/>
          <w:szCs w:val="32"/>
          <w:u w:val="none"/>
        </w:rPr>
      </w:pPr>
      <w:r>
        <w:rPr>
          <w:rFonts w:ascii="仿宋_GB2312" w:hAnsi="仿宋_GB2312" w:eastAsia="仿宋_GB2312" w:cs="仿宋_GB2312"/>
          <w:kern w:val="0"/>
          <w:sz w:val="32"/>
          <w:szCs w:val="32"/>
        </w:rPr>
        <w:t>本部</w:t>
      </w:r>
      <w:r>
        <w:rPr>
          <w:rFonts w:ascii="仿宋_GB2312" w:hAnsi="仿宋_GB2312" w:eastAsia="仿宋_GB2312" w:cs="仿宋_GB2312"/>
          <w:kern w:val="0"/>
          <w:sz w:val="32"/>
          <w:szCs w:val="32"/>
          <w:u w:val="none"/>
        </w:rPr>
        <w:t>门（单位）决算公开信息反馈和联系方式：</w:t>
      </w:r>
    </w:p>
    <w:p w14:paraId="39FC44B0">
      <w:pPr>
        <w:widowControl/>
        <w:spacing w:line="578" w:lineRule="exact"/>
        <w:ind w:firstLine="640" w:firstLineChars="200"/>
        <w:jc w:val="left"/>
        <w:rPr>
          <w:rFonts w:ascii="仿宋_GB2312" w:hAnsi="仿宋_GB2312" w:eastAsia="仿宋_GB2312" w:cs="仿宋_GB2312"/>
          <w:kern w:val="0"/>
          <w:sz w:val="32"/>
          <w:szCs w:val="32"/>
          <w:u w:val="none"/>
        </w:rPr>
      </w:pPr>
      <w:r>
        <w:rPr>
          <w:rFonts w:ascii="仿宋_GB2312" w:hAnsi="仿宋_GB2312" w:eastAsia="仿宋_GB2312" w:cs="仿宋_GB2312"/>
          <w:kern w:val="0"/>
          <w:sz w:val="32"/>
          <w:szCs w:val="32"/>
          <w:u w:val="none"/>
        </w:rPr>
        <w:t>联系人：刘璐           联系电话：0472-5220976</w:t>
      </w:r>
    </w:p>
    <w:p w14:paraId="7515E25D">
      <w:pPr>
        <w:pStyle w:val="2"/>
        <w:rPr>
          <w:u w:val="none"/>
        </w:rPr>
      </w:pPr>
    </w:p>
    <w:p w14:paraId="4C779979">
      <w:pPr>
        <w:pStyle w:val="5"/>
        <w:keepNext w:val="0"/>
        <w:keepLines w:val="0"/>
        <w:widowControl/>
        <w:spacing w:before="0" w:after="0" w:line="578" w:lineRule="exact"/>
        <w:jc w:val="center"/>
        <w:rPr>
          <w:rFonts w:ascii="微软雅黑" w:hAnsi="微软雅黑" w:eastAsia="微软雅黑" w:cs="微软雅黑"/>
          <w:b w:val="0"/>
          <w:bCs w:val="0"/>
          <w:kern w:val="0"/>
          <w:sz w:val="36"/>
          <w:szCs w:val="36"/>
          <w:u w:val="none"/>
        </w:rPr>
      </w:pPr>
    </w:p>
    <w:p w14:paraId="1D7457B1">
      <w:pPr>
        <w:pStyle w:val="5"/>
        <w:keepNext w:val="0"/>
        <w:keepLines w:val="0"/>
        <w:widowControl/>
        <w:spacing w:before="0" w:after="0" w:line="578" w:lineRule="exact"/>
        <w:jc w:val="center"/>
        <w:rPr>
          <w:rFonts w:ascii="微软雅黑" w:hAnsi="微软雅黑" w:eastAsia="微软雅黑" w:cs="微软雅黑"/>
          <w:b w:val="0"/>
          <w:bCs w:val="0"/>
          <w:kern w:val="0"/>
          <w:sz w:val="36"/>
          <w:szCs w:val="36"/>
        </w:rPr>
      </w:pPr>
      <w:r>
        <w:rPr>
          <w:rFonts w:hint="eastAsia" w:ascii="微软雅黑" w:hAnsi="微软雅黑" w:eastAsia="微软雅黑" w:cs="微软雅黑"/>
          <w:b w:val="0"/>
          <w:bCs w:val="0"/>
          <w:kern w:val="0"/>
          <w:sz w:val="36"/>
          <w:szCs w:val="36"/>
        </w:rPr>
        <w:t>第五部分 部门（单位）决算表</w:t>
      </w:r>
    </w:p>
    <w:p w14:paraId="2CB1C19F">
      <w:pPr>
        <w:widowControl/>
        <w:spacing w:line="578" w:lineRule="exact"/>
        <w:jc w:val="center"/>
        <w:rPr>
          <w:rFonts w:eastAsia="Times New Roman"/>
          <w:kern w:val="0"/>
          <w:sz w:val="32"/>
          <w:szCs w:val="32"/>
        </w:rPr>
      </w:pPr>
    </w:p>
    <w:p w14:paraId="2A91F8F1">
      <w:pPr>
        <w:widowControl/>
        <w:spacing w:line="578" w:lineRule="exact"/>
        <w:jc w:val="left"/>
        <w:rPr>
          <w:rFonts w:eastAsia="Times New Roman"/>
          <w:kern w:val="0"/>
          <w:sz w:val="32"/>
          <w:szCs w:val="32"/>
        </w:rPr>
      </w:pPr>
      <w:r>
        <w:rPr>
          <w:rFonts w:ascii="仿宋_GB2312" w:hAnsi="仿宋_GB2312" w:eastAsia="仿宋_GB2312" w:cs="仿宋_GB2312"/>
          <w:kern w:val="0"/>
          <w:sz w:val="32"/>
          <w:szCs w:val="32"/>
        </w:rPr>
        <w:t>    见附件。</w:t>
      </w:r>
    </w:p>
    <w:p w14:paraId="098CF5D5">
      <w:pPr>
        <w:widowControl/>
        <w:spacing w:line="578" w:lineRule="exact"/>
        <w:jc w:val="left"/>
        <w:rPr>
          <w:rFonts w:eastAsia="Times New Roman"/>
          <w:kern w:val="0"/>
          <w:sz w:val="24"/>
        </w:rPr>
      </w:pPr>
    </w:p>
    <w:p w14:paraId="186D97EC">
      <w:pPr>
        <w:widowControl/>
        <w:spacing w:line="578" w:lineRule="exact"/>
        <w:jc w:val="left"/>
        <w:rPr>
          <w:rFonts w:eastAsia="Times New Roman"/>
          <w:kern w:val="0"/>
          <w:sz w:val="24"/>
        </w:rPr>
      </w:pPr>
    </w:p>
    <w:p w14:paraId="3D9AEF66">
      <w:pPr>
        <w:widowControl/>
        <w:spacing w:line="578" w:lineRule="exact"/>
        <w:jc w:val="left"/>
        <w:rPr>
          <w:rFonts w:eastAsia="Times New Roman"/>
          <w:kern w:val="0"/>
          <w:sz w:val="24"/>
        </w:rPr>
      </w:pPr>
    </w:p>
    <w:p w14:paraId="4ED7D15E">
      <w:pPr>
        <w:widowControl/>
        <w:spacing w:line="578" w:lineRule="exact"/>
        <w:jc w:val="left"/>
        <w:rPr>
          <w:rFonts w:eastAsia="Times New Roman"/>
          <w:kern w:val="0"/>
          <w:sz w:val="24"/>
        </w:rPr>
      </w:pPr>
    </w:p>
    <w:bookmarkEnd w:id="0"/>
    <w:p w14:paraId="1EB037B0">
      <w:pPr>
        <w:adjustRightInd w:val="0"/>
        <w:snapToGrid w:val="0"/>
        <w:spacing w:line="578" w:lineRule="exact"/>
        <w:rPr>
          <w:rFonts w:ascii="宋体" w:hAnsi="宋体"/>
          <w:b/>
          <w:sz w:val="32"/>
          <w:szCs w:val="32"/>
        </w:rPr>
      </w:pPr>
    </w:p>
    <w:p w14:paraId="62FA8778">
      <w:pPr>
        <w:adjustRightInd w:val="0"/>
        <w:snapToGrid w:val="0"/>
        <w:spacing w:line="578" w:lineRule="exact"/>
        <w:rPr>
          <w:rFonts w:ascii="宋体" w:hAnsi="宋体"/>
          <w:b/>
          <w:sz w:val="32"/>
          <w:szCs w:val="32"/>
        </w:rPr>
      </w:pPr>
    </w:p>
    <w:p w14:paraId="337AB05B">
      <w:pPr>
        <w:tabs>
          <w:tab w:val="left" w:pos="8415"/>
        </w:tabs>
        <w:spacing w:line="578" w:lineRule="exact"/>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ai_ti_gb2312">
    <w:altName w:val="Times New Roman"/>
    <w:panose1 w:val="00000000000000000000"/>
    <w:charset w:val="00"/>
    <w:family w:val="roman"/>
    <w:pitch w:val="default"/>
    <w:sig w:usb0="00000000" w:usb1="00000000" w:usb2="00000000" w:usb3="00000000" w:csb0="00000000" w:csb1="00000000"/>
  </w:font>
  <w:font w:name="times_new_roman">
    <w:altName w:val="Times New Roman"/>
    <w:panose1 w:val="00000000000000000000"/>
    <w:charset w:val="00"/>
    <w:family w:val="roman"/>
    <w:pitch w:val="default"/>
    <w:sig w:usb0="00000000" w:usb1="00000000" w:usb2="00000000" w:usb3="00000000" w:csb0="00000000" w:csb1="00000000"/>
  </w:font>
  <w:font w:name="fang_song_gb2312">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86C4B">
    <w:pPr>
      <w:jc w:val="center"/>
    </w:pPr>
    <w:r>
      <w:rPr>
        <w:rFonts w:ascii="宋体" w:hAnsi="宋体" w:cs="宋体"/>
        <w:sz w:val="18"/>
      </w:rPr>
      <w:fldChar w:fldCharType="begin"/>
    </w:r>
    <w:r>
      <w:rPr>
        <w:rFonts w:ascii="宋体" w:hAnsi="宋体" w:cs="宋体"/>
        <w:sz w:val="18"/>
      </w:rPr>
      <w:instrText xml:space="preserve"> PAGE </w:instrText>
    </w:r>
    <w:r>
      <w:rPr>
        <w:rFonts w:ascii="宋体" w:hAnsi="宋体" w:cs="宋体"/>
        <w:sz w:val="18"/>
      </w:rPr>
      <w:fldChar w:fldCharType="separate"/>
    </w:r>
    <w:r>
      <w:rPr>
        <w:rFonts w:ascii="宋体" w:hAnsi="宋体" w:cs="宋体"/>
        <w:sz w:val="18"/>
      </w:rPr>
      <w:t>1</w:t>
    </w:r>
    <w:r>
      <w:rPr>
        <w:rFonts w:ascii="宋体" w:hAnsi="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18F82">
    <w:pPr>
      <w:pStyle w:val="13"/>
      <w:jc w:val="center"/>
    </w:pPr>
    <w:r>
      <w:fldChar w:fldCharType="begin"/>
    </w:r>
    <w:r>
      <w:instrText xml:space="preserve"> PAGE   \* MERGEFORMAT </w:instrText>
    </w:r>
    <w:r>
      <w:fldChar w:fldCharType="separate"/>
    </w:r>
    <w:r>
      <w:rPr>
        <w:lang w:val="zh-CN"/>
      </w:rPr>
      <w:t>19</w:t>
    </w:r>
    <w:r>
      <w:rPr>
        <w:lang w:val="zh-CN"/>
      </w:rPr>
      <w:fldChar w:fldCharType="end"/>
    </w:r>
  </w:p>
  <w:p w14:paraId="378EF4A7">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923E8"/>
    <w:multiLevelType w:val="singleLevel"/>
    <w:tmpl w:val="0EA923E8"/>
    <w:lvl w:ilvl="0" w:tentative="0">
      <w:start w:val="12"/>
      <w:numFmt w:val="chineseCounting"/>
      <w:suff w:val="nothing"/>
      <w:lvlText w:val="%1、"/>
      <w:lvlJc w:val="left"/>
      <w:pPr>
        <w:ind w:left="803"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536"/>
    <w:rsid w:val="0000662F"/>
    <w:rsid w:val="00023E75"/>
    <w:rsid w:val="00033C6A"/>
    <w:rsid w:val="00063AC2"/>
    <w:rsid w:val="000774F0"/>
    <w:rsid w:val="0008308B"/>
    <w:rsid w:val="00097269"/>
    <w:rsid w:val="000A769F"/>
    <w:rsid w:val="000B1AA5"/>
    <w:rsid w:val="000D3889"/>
    <w:rsid w:val="0010682D"/>
    <w:rsid w:val="001620BF"/>
    <w:rsid w:val="001814D4"/>
    <w:rsid w:val="00183373"/>
    <w:rsid w:val="001E7634"/>
    <w:rsid w:val="00204509"/>
    <w:rsid w:val="002230AE"/>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52AF2"/>
    <w:rsid w:val="0059054F"/>
    <w:rsid w:val="00596608"/>
    <w:rsid w:val="005B4139"/>
    <w:rsid w:val="005C13AB"/>
    <w:rsid w:val="00667493"/>
    <w:rsid w:val="006C017F"/>
    <w:rsid w:val="006E7255"/>
    <w:rsid w:val="007003B2"/>
    <w:rsid w:val="007402A0"/>
    <w:rsid w:val="00760FDB"/>
    <w:rsid w:val="00762248"/>
    <w:rsid w:val="00787000"/>
    <w:rsid w:val="007A7BA5"/>
    <w:rsid w:val="007B6706"/>
    <w:rsid w:val="007C1FDD"/>
    <w:rsid w:val="007D6292"/>
    <w:rsid w:val="00857D98"/>
    <w:rsid w:val="008823DF"/>
    <w:rsid w:val="00894C48"/>
    <w:rsid w:val="00896385"/>
    <w:rsid w:val="008A10DB"/>
    <w:rsid w:val="008B5455"/>
    <w:rsid w:val="009125DD"/>
    <w:rsid w:val="00954CD9"/>
    <w:rsid w:val="009A5EF3"/>
    <w:rsid w:val="009D6904"/>
    <w:rsid w:val="009E1EE8"/>
    <w:rsid w:val="009E227B"/>
    <w:rsid w:val="009E308A"/>
    <w:rsid w:val="009F0536"/>
    <w:rsid w:val="009F6F17"/>
    <w:rsid w:val="00A147CF"/>
    <w:rsid w:val="00A270BE"/>
    <w:rsid w:val="00A36C1D"/>
    <w:rsid w:val="00A517A0"/>
    <w:rsid w:val="00A62486"/>
    <w:rsid w:val="00AB013A"/>
    <w:rsid w:val="00AD0882"/>
    <w:rsid w:val="00AD11A5"/>
    <w:rsid w:val="00AE47F5"/>
    <w:rsid w:val="00AF5F33"/>
    <w:rsid w:val="00B27D51"/>
    <w:rsid w:val="00B27EBB"/>
    <w:rsid w:val="00B32BEE"/>
    <w:rsid w:val="00B373AF"/>
    <w:rsid w:val="00B4208A"/>
    <w:rsid w:val="00B57D7A"/>
    <w:rsid w:val="00B76620"/>
    <w:rsid w:val="00B840CE"/>
    <w:rsid w:val="00B96C3D"/>
    <w:rsid w:val="00BA10E6"/>
    <w:rsid w:val="00BD0928"/>
    <w:rsid w:val="00BE5F73"/>
    <w:rsid w:val="00BF4228"/>
    <w:rsid w:val="00C07A30"/>
    <w:rsid w:val="00C352FF"/>
    <w:rsid w:val="00C44231"/>
    <w:rsid w:val="00C51875"/>
    <w:rsid w:val="00CC6B8B"/>
    <w:rsid w:val="00CD3751"/>
    <w:rsid w:val="00D2051A"/>
    <w:rsid w:val="00D850A8"/>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2A244077"/>
    <w:rsid w:val="38BA66FD"/>
    <w:rsid w:val="51CD438B"/>
    <w:rsid w:val="556A7539"/>
    <w:rsid w:val="76727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29"/>
    <w:qFormat/>
    <w:uiPriority w:val="0"/>
    <w:pPr>
      <w:keepNext/>
      <w:keepLines/>
      <w:spacing w:before="260" w:after="260" w:line="416" w:lineRule="auto"/>
      <w:outlineLvl w:val="2"/>
    </w:pPr>
    <w:rPr>
      <w:b/>
      <w:bCs/>
      <w:sz w:val="32"/>
      <w:szCs w:val="32"/>
    </w:rPr>
  </w:style>
  <w:style w:type="paragraph" w:styleId="7">
    <w:name w:val="heading 4"/>
    <w:basedOn w:val="1"/>
    <w:next w:val="1"/>
    <w:link w:val="24"/>
    <w:qFormat/>
    <w:uiPriority w:val="0"/>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autoRedefine/>
    <w:qFormat/>
    <w:uiPriority w:val="0"/>
    <w:pPr>
      <w:ind w:firstLine="420" w:firstLineChars="200"/>
    </w:pPr>
  </w:style>
  <w:style w:type="paragraph" w:customStyle="1" w:styleId="3">
    <w:name w:val="正文文本缩进1"/>
    <w:basedOn w:val="1"/>
    <w:autoRedefine/>
    <w:qFormat/>
    <w:uiPriority w:val="0"/>
    <w:pPr>
      <w:ind w:left="420" w:leftChars="200"/>
    </w:pPr>
    <w:rPr>
      <w:rFonts w:ascii="Calibri" w:hAnsi="Calibri" w:cs="Calibri"/>
    </w:rPr>
  </w:style>
  <w:style w:type="paragraph" w:styleId="8">
    <w:name w:val="toc 7"/>
    <w:basedOn w:val="1"/>
    <w:next w:val="1"/>
    <w:autoRedefine/>
    <w:qFormat/>
    <w:uiPriority w:val="0"/>
    <w:pPr>
      <w:ind w:left="1260"/>
      <w:jc w:val="left"/>
    </w:pPr>
    <w:rPr>
      <w:sz w:val="20"/>
      <w:szCs w:val="20"/>
    </w:rPr>
  </w:style>
  <w:style w:type="paragraph" w:styleId="9">
    <w:name w:val="Document Map"/>
    <w:basedOn w:val="1"/>
    <w:qFormat/>
    <w:uiPriority w:val="0"/>
    <w:pPr>
      <w:shd w:val="clear" w:color="auto" w:fill="000080"/>
    </w:pPr>
  </w:style>
  <w:style w:type="paragraph" w:styleId="10">
    <w:name w:val="toc 5"/>
    <w:basedOn w:val="1"/>
    <w:next w:val="1"/>
    <w:autoRedefine/>
    <w:qFormat/>
    <w:uiPriority w:val="0"/>
    <w:pPr>
      <w:ind w:left="840"/>
      <w:jc w:val="left"/>
    </w:pPr>
    <w:rPr>
      <w:sz w:val="20"/>
      <w:szCs w:val="20"/>
    </w:rPr>
  </w:style>
  <w:style w:type="paragraph" w:styleId="11">
    <w:name w:val="toc 3"/>
    <w:basedOn w:val="1"/>
    <w:next w:val="1"/>
    <w:qFormat/>
    <w:uiPriority w:val="0"/>
    <w:pPr>
      <w:adjustRightInd w:val="0"/>
      <w:snapToGrid w:val="0"/>
      <w:spacing w:line="360" w:lineRule="auto"/>
      <w:ind w:firstLine="400" w:firstLineChars="400"/>
      <w:jc w:val="left"/>
    </w:pPr>
    <w:rPr>
      <w:sz w:val="24"/>
      <w:szCs w:val="20"/>
    </w:rPr>
  </w:style>
  <w:style w:type="paragraph" w:styleId="12">
    <w:name w:val="toc 8"/>
    <w:basedOn w:val="1"/>
    <w:next w:val="1"/>
    <w:autoRedefine/>
    <w:qFormat/>
    <w:uiPriority w:val="0"/>
    <w:pPr>
      <w:ind w:left="1470"/>
      <w:jc w:val="left"/>
    </w:pPr>
    <w:rPr>
      <w:sz w:val="20"/>
      <w:szCs w:val="20"/>
    </w:rPr>
  </w:style>
  <w:style w:type="paragraph" w:styleId="13">
    <w:name w:val="footer"/>
    <w:basedOn w:val="1"/>
    <w:link w:val="27"/>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snapToGrid w:val="0"/>
      <w:spacing w:line="360" w:lineRule="auto"/>
      <w:jc w:val="left"/>
    </w:pPr>
    <w:rPr>
      <w:b/>
      <w:bCs/>
      <w:sz w:val="24"/>
      <w:szCs w:val="20"/>
    </w:rPr>
  </w:style>
  <w:style w:type="paragraph" w:styleId="16">
    <w:name w:val="toc 4"/>
    <w:basedOn w:val="1"/>
    <w:next w:val="1"/>
    <w:autoRedefine/>
    <w:qFormat/>
    <w:uiPriority w:val="0"/>
    <w:pPr>
      <w:ind w:left="630"/>
      <w:jc w:val="left"/>
    </w:pPr>
    <w:rPr>
      <w:sz w:val="20"/>
      <w:szCs w:val="20"/>
    </w:rPr>
  </w:style>
  <w:style w:type="paragraph" w:styleId="17">
    <w:name w:val="toc 6"/>
    <w:basedOn w:val="1"/>
    <w:next w:val="1"/>
    <w:autoRedefine/>
    <w:qFormat/>
    <w:uiPriority w:val="0"/>
    <w:pPr>
      <w:ind w:left="1050"/>
      <w:jc w:val="left"/>
    </w:pPr>
    <w:rPr>
      <w:sz w:val="20"/>
      <w:szCs w:val="20"/>
    </w:rPr>
  </w:style>
  <w:style w:type="paragraph" w:styleId="18">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9">
    <w:name w:val="toc 9"/>
    <w:basedOn w:val="1"/>
    <w:next w:val="1"/>
    <w:autoRedefine/>
    <w:qFormat/>
    <w:uiPriority w:val="0"/>
    <w:pPr>
      <w:ind w:left="1680"/>
      <w:jc w:val="left"/>
    </w:pPr>
    <w:rPr>
      <w:sz w:val="20"/>
      <w:szCs w:val="20"/>
    </w:r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customStyle="1" w:styleId="24">
    <w:name w:val="标题 4 Char"/>
    <w:basedOn w:val="21"/>
    <w:link w:val="7"/>
    <w:qFormat/>
    <w:uiPriority w:val="0"/>
    <w:rPr>
      <w:rFonts w:ascii="Cambria" w:hAnsi="Cambria"/>
      <w:b/>
      <w:bCs/>
      <w:kern w:val="2"/>
      <w:sz w:val="28"/>
      <w:szCs w:val="28"/>
    </w:rPr>
  </w:style>
  <w:style w:type="paragraph" w:styleId="25">
    <w:name w:val="No Spacing"/>
    <w:link w:val="26"/>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6">
    <w:name w:val="无间隔 Char"/>
    <w:link w:val="25"/>
    <w:qFormat/>
    <w:locked/>
    <w:uiPriority w:val="0"/>
    <w:rPr>
      <w:rFonts w:eastAsia="仿宋_GB2312"/>
      <w:sz w:val="30"/>
      <w:szCs w:val="22"/>
      <w:lang w:bidi="ar-SA"/>
    </w:rPr>
  </w:style>
  <w:style w:type="character" w:customStyle="1" w:styleId="27">
    <w:name w:val="页脚 Char"/>
    <w:basedOn w:val="21"/>
    <w:link w:val="13"/>
    <w:qFormat/>
    <w:uiPriority w:val="0"/>
    <w:rPr>
      <w:kern w:val="2"/>
      <w:sz w:val="18"/>
      <w:szCs w:val="18"/>
    </w:rPr>
  </w:style>
  <w:style w:type="paragraph" w:styleId="28">
    <w:name w:val="List Paragraph"/>
    <w:basedOn w:val="1"/>
    <w:qFormat/>
    <w:uiPriority w:val="0"/>
    <w:pPr>
      <w:ind w:firstLine="420" w:firstLineChars="200"/>
    </w:pPr>
  </w:style>
  <w:style w:type="character" w:customStyle="1" w:styleId="29">
    <w:name w:val="标题 3 Char"/>
    <w:basedOn w:val="21"/>
    <w:link w:val="6"/>
    <w:qFormat/>
    <w:uiPriority w:val="0"/>
    <w:rPr>
      <w:b/>
      <w:bCs/>
      <w:kern w:val="2"/>
      <w:sz w:val="32"/>
      <w:szCs w:val="32"/>
    </w:rPr>
  </w:style>
  <w:style w:type="paragraph" w:customStyle="1" w:styleId="30">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094AF1AB-FB88-47F2-ADDA-0B2F2BF75DB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938</Words>
  <Characters>955</Characters>
  <Lines>69</Lines>
  <Paragraphs>19</Paragraphs>
  <TotalTime>31</TotalTime>
  <ScaleCrop>false</ScaleCrop>
  <LinksUpToDate>false</LinksUpToDate>
  <CharactersWithSpaces>978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2025-09-23T01:22:00Z</dcterms:created>
  <dc:creator>Administrator</dc:creator>
  <cp:lastModifiedBy>李梦雪</cp:lastModifiedBy>
  <cp:lastPrinted>2021-04-16T00:45:00Z</cp:lastPrinted>
  <dcterms:modified xsi:type="dcterms:W3CDTF">2025-09-24T08:01:47Z</dcterms:modified>
  <dc:title>××年度××部门/单位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6B13C32DDB4545B7AC94DE906742B0D2_13</vt:lpwstr>
  </property>
  <property fmtid="{D5CDD505-2E9C-101B-9397-08002B2CF9AE}" pid="3" name="KSOProductBuildVer">
    <vt:lpwstr>2052-12.1.0.22529</vt:lpwstr>
  </property>
  <property fmtid="{D5CDD505-2E9C-101B-9397-08002B2CF9AE}" pid="4" name="KSOTemplateDocerSaveRecord">
    <vt:lpwstr>eyJoZGlkIjoiZThmM2E2ZTMzZWU0ZmFjNDIyZmVkNGQ2OWJhYWFmNDIiLCJ1c2VySWQiOiI1ODM5Mjc4MzYifQ==</vt:lpwstr>
  </property>
</Properties>
</file>